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4018"/>
        <w:gridCol w:w="2126"/>
      </w:tblGrid>
      <w:tr w:rsidR="00963CBA" w14:paraId="58637037" w14:textId="77777777" w:rsidTr="00F65676">
        <w:trPr>
          <w:trHeight w:val="851"/>
        </w:trPr>
        <w:tc>
          <w:tcPr>
            <w:tcW w:w="1259" w:type="dxa"/>
            <w:tcBorders>
              <w:top w:val="nil"/>
              <w:left w:val="nil"/>
              <w:bottom w:val="single" w:sz="4" w:space="0" w:color="auto"/>
              <w:right w:val="nil"/>
            </w:tcBorders>
          </w:tcPr>
          <w:p w14:paraId="08872418" w14:textId="618AA283" w:rsidR="00446DE4" w:rsidRDefault="00446DE4" w:rsidP="00197DDD">
            <w:pPr>
              <w:spacing w:after="80" w:line="340" w:lineRule="exact"/>
            </w:pPr>
          </w:p>
        </w:tc>
        <w:tc>
          <w:tcPr>
            <w:tcW w:w="2236" w:type="dxa"/>
            <w:tcBorders>
              <w:top w:val="nil"/>
              <w:left w:val="nil"/>
              <w:bottom w:val="single" w:sz="4" w:space="0" w:color="auto"/>
              <w:right w:val="nil"/>
            </w:tcBorders>
            <w:vAlign w:val="bottom"/>
          </w:tcPr>
          <w:p w14:paraId="4380510F" w14:textId="1B89B079" w:rsidR="00446DE4" w:rsidRPr="00963CBA" w:rsidRDefault="00E110B2" w:rsidP="00197DDD">
            <w:pPr>
              <w:spacing w:after="80" w:line="340" w:lineRule="exact"/>
              <w:rPr>
                <w:sz w:val="28"/>
                <w:szCs w:val="28"/>
              </w:rPr>
            </w:pPr>
            <w:r>
              <w:rPr>
                <w:sz w:val="28"/>
                <w:szCs w:val="28"/>
              </w:rPr>
              <w:t xml:space="preserve">Verenigde Naties</w:t>
            </w:r>
          </w:p>
        </w:tc>
        <w:tc>
          <w:tcPr>
            <w:tcW w:w="6144" w:type="dxa"/>
            <w:gridSpan w:val="2"/>
            <w:tcBorders>
              <w:top w:val="nil"/>
              <w:left w:val="nil"/>
              <w:bottom w:val="single" w:sz="4" w:space="0" w:color="auto"/>
              <w:right w:val="nil"/>
            </w:tcBorders>
            <w:vAlign w:val="bottom"/>
          </w:tcPr>
          <w:p w14:paraId="2CB289F6" w14:textId="77777777" w:rsidR="00446DE4" w:rsidRPr="00942BE3" w:rsidRDefault="004E782F" w:rsidP="004E782F">
            <w:pPr>
              <w:jc w:val="right"/>
            </w:pPr>
            <w:r>
              <w:rPr>
                <w:sz w:val="40"/>
              </w:rPr>
              <w:t xml:space="preserve">CRC</w:t>
            </w:r>
            <w:r>
              <w:t xml:space="preserve">/C/GC/24</w:t>
            </w:r>
          </w:p>
        </w:tc>
      </w:tr>
      <w:tr w:rsidR="003107FA" w14:paraId="050ECCA2" w14:textId="77777777" w:rsidTr="00225CB3">
        <w:trPr>
          <w:trHeight w:val="2835"/>
        </w:trPr>
        <w:tc>
          <w:tcPr>
            <w:tcW w:w="1259" w:type="dxa"/>
            <w:tcBorders>
              <w:top w:val="single" w:sz="4" w:space="0" w:color="auto"/>
              <w:left w:val="nil"/>
              <w:bottom w:val="single" w:sz="12" w:space="0" w:color="auto"/>
              <w:right w:val="nil"/>
            </w:tcBorders>
          </w:tcPr>
          <w:p w14:paraId="79D4E39D" w14:textId="16D5A0AB" w:rsidR="003107FA" w:rsidRDefault="00E110B2" w:rsidP="00197DDD">
            <w:pPr>
              <w:spacing w:before="120"/>
              <w:jc w:val="center"/>
            </w:pPr>
            <w:r>
              <w:drawing>
                <wp:inline distT="0" distB="0" distL="0" distR="0" wp14:anchorId="258CFFCC" wp14:editId="2D3DFF5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6254" w:type="dxa"/>
            <w:gridSpan w:val="2"/>
            <w:tcBorders>
              <w:top w:val="single" w:sz="4" w:space="0" w:color="auto"/>
              <w:left w:val="nil"/>
              <w:bottom w:val="single" w:sz="12" w:space="0" w:color="auto"/>
              <w:right w:val="nil"/>
            </w:tcBorders>
          </w:tcPr>
          <w:p w14:paraId="772D04FA" w14:textId="3BA1632B" w:rsidR="003107FA" w:rsidRPr="00B3317B" w:rsidRDefault="00E110B2" w:rsidP="00197DDD">
            <w:pPr>
              <w:spacing w:before="120" w:line="420" w:lineRule="exact"/>
              <w:rPr>
                <w:b/>
                <w:sz w:val="40"/>
                <w:szCs w:val="40"/>
              </w:rPr>
            </w:pPr>
            <w:r>
              <w:rPr>
                <w:b/>
                <w:sz w:val="40"/>
                <w:szCs w:val="40"/>
              </w:rPr>
              <w:t xml:space="preserve">Verdrag inzake de Rechten van het Kind</w:t>
            </w:r>
          </w:p>
        </w:tc>
        <w:tc>
          <w:tcPr>
            <w:tcW w:w="2126" w:type="dxa"/>
            <w:tcBorders>
              <w:top w:val="single" w:sz="4" w:space="0" w:color="auto"/>
              <w:left w:val="nil"/>
              <w:bottom w:val="single" w:sz="12" w:space="0" w:color="auto"/>
              <w:right w:val="nil"/>
            </w:tcBorders>
          </w:tcPr>
          <w:p w14:paraId="1524F045" w14:textId="4EED40C5" w:rsidR="003107FA" w:rsidRDefault="004E782F" w:rsidP="004E782F">
            <w:pPr>
              <w:spacing w:before="240" w:line="240" w:lineRule="exact"/>
            </w:pPr>
            <w:r>
              <w:t xml:space="preserve">Distr.:</w:t>
            </w:r>
            <w:r>
              <w:t xml:space="preserve"> </w:t>
            </w:r>
            <w:r>
              <w:t xml:space="preserve">Algemeen</w:t>
            </w:r>
          </w:p>
          <w:p w14:paraId="45224DE0" w14:textId="15041AFA" w:rsidR="004E782F" w:rsidRDefault="009027BC" w:rsidP="004E782F">
            <w:pPr>
              <w:spacing w:line="240" w:lineRule="exact"/>
            </w:pPr>
            <w:r>
              <w:t xml:space="preserve">18 september 2019</w:t>
            </w:r>
          </w:p>
          <w:p w14:paraId="501256CD" w14:textId="77777777" w:rsidR="004E782F" w:rsidRDefault="004E782F" w:rsidP="004E782F">
            <w:pPr>
              <w:spacing w:line="240" w:lineRule="exact"/>
            </w:pPr>
          </w:p>
          <w:p w14:paraId="6A98DACD" w14:textId="7EDA9EBA" w:rsidR="004E782F" w:rsidRDefault="004E782F" w:rsidP="004E782F">
            <w:pPr>
              <w:spacing w:line="240" w:lineRule="exact"/>
            </w:pPr>
            <w:r>
              <w:t xml:space="preserve">Origineel:</w:t>
            </w:r>
            <w:r>
              <w:t xml:space="preserve"> </w:t>
            </w:r>
            <w:r>
              <w:t xml:space="preserve">Engels</w:t>
            </w:r>
          </w:p>
        </w:tc>
      </w:tr>
    </w:tbl>
    <w:p w14:paraId="23CD1462" w14:textId="0890CC17" w:rsidR="00F65676" w:rsidRPr="00F65676" w:rsidRDefault="00F65676" w:rsidP="00F65676">
      <w:pPr>
        <w:spacing w:before="120"/>
        <w:rPr>
          <w:b/>
          <w:sz w:val="24"/>
        </w:rPr>
      </w:pPr>
      <w:r>
        <w:rPr>
          <w:b/>
          <w:sz w:val="24"/>
        </w:rPr>
        <w:t xml:space="preserve">Comité inzake de Rechten van het Kind</w:t>
      </w:r>
    </w:p>
    <w:p w14:paraId="74DC57AB" w14:textId="4291F247" w:rsidR="00F65676" w:rsidRPr="00F65676" w:rsidRDefault="00F65676" w:rsidP="002C2556">
      <w:pPr>
        <w:pStyle w:val="HChG"/>
      </w:pPr>
      <w:r>
        <w:tab/>
        <w:tab/>
      </w:r>
      <w:r>
        <w:t xml:space="preserve">General comment nr. 24 (2019) over de rechten van het kind in het kinderrechtsstelsel</w:t>
      </w:r>
    </w:p>
    <w:p w14:paraId="441C25F8" w14:textId="3DBA2BCC" w:rsidR="004E782F" w:rsidRPr="000435F2" w:rsidRDefault="004E782F" w:rsidP="004E782F">
      <w:pPr>
        <w:pStyle w:val="HChG"/>
      </w:pPr>
      <w:r>
        <w:br w:type="page"/>
      </w:r>
      <w:r>
        <w:tab/>
      </w:r>
      <w:r>
        <w:t xml:space="preserve">I. Inleiding</w:t>
      </w:r>
    </w:p>
    <w:p w14:paraId="06E975D6" w14:textId="47CB03DD" w:rsidR="004E782F" w:rsidRPr="00AF3238" w:rsidRDefault="009E19E9" w:rsidP="0075567E">
      <w:pPr>
        <w:pStyle w:val="SingleTxtG"/>
      </w:pPr>
      <w:r>
        <w:t xml:space="preserve">1.</w:t>
      </w:r>
      <w:r>
        <w:tab/>
      </w:r>
      <w:r>
        <w:t xml:space="preserve">Dit general comment vervangt general comment nr. 10 (2007) over de rechten van het kind in het jeugdrecht.</w:t>
      </w:r>
      <w:r>
        <w:t xml:space="preserve"> </w:t>
      </w:r>
      <w:r>
        <w:t xml:space="preserve">Het weerspiegelt de ontwikkelingen die zich sinds 2007 hebben voorgedaan als gevolg van de afkondiging van internationale en regionale normen, de jurisprudentie van het Comité, nieuwe kennis over de ontwikkeling van kinderen en adolescenten en bewijzen van effectieve praktijken, met inbegrip van praktijken op het gebied van het herstelrecht.</w:t>
      </w:r>
      <w:r>
        <w:t xml:space="preserve"> </w:t>
      </w:r>
      <w:r>
        <w:t xml:space="preserve">Het weerspiegelt ook zorgen zoals de trends met betrekking tot de minimumleeftijd voor strafrechtelijke aansprakelijkheid en het aanhoudende gebruik van vrijheidsberoving.</w:t>
      </w:r>
      <w:r>
        <w:t xml:space="preserve"> </w:t>
      </w:r>
      <w:r>
        <w:t xml:space="preserve">Het general comment heeft betrekking op specifieke kwesties, zoals kwesties in verband met kinderen die worden gerekruteerd en gebruikt door niet-gouvernementele gewapende groepen, met inbegrip van die welke als terroristische groeperingen zijn aangewezen, en kinderen die te maken hebben met de gewoonterechtelijke, inheemse of andere niet-gouvernementele rechtsstelsels.</w:t>
      </w:r>
      <w:r>
        <w:t xml:space="preserve"> </w:t>
      </w:r>
    </w:p>
    <w:p w14:paraId="14C1C140" w14:textId="78760D75" w:rsidR="001F2C3C" w:rsidRPr="00895F83" w:rsidRDefault="009E19E9" w:rsidP="0075567E">
      <w:pPr>
        <w:pStyle w:val="SingleTxtG"/>
      </w:pPr>
      <w:r>
        <w:t xml:space="preserve">2.</w:t>
      </w:r>
      <w:r>
        <w:tab/>
      </w:r>
      <w:r>
        <w:t xml:space="preserve">Kinderen verschillen van volwassenen in hun fysieke en psychische ontwikkeling.</w:t>
      </w:r>
      <w:r>
        <w:t xml:space="preserve"> </w:t>
      </w:r>
      <w:r>
        <w:t xml:space="preserve">Dergelijke verschillen vormen de basis voor de erkenning van een lagere verwijtbaarheid en voor een afzonderlijk systeem met een gedifferentieerde, geïndividualiseerde aanpak.</w:t>
      </w:r>
      <w:r>
        <w:t xml:space="preserve"> </w:t>
      </w:r>
      <w:r>
        <w:t xml:space="preserve">Blootstelling aan het strafrechtelijk systeem blijkt schadelijk te zijn voor kinderen en beperkt hun kansen om verantwoordelijke volwassenen te worden.</w:t>
      </w:r>
    </w:p>
    <w:p w14:paraId="455A44F2" w14:textId="170502E0" w:rsidR="004E782F" w:rsidRPr="001733C8" w:rsidRDefault="009E19E9" w:rsidP="0075567E">
      <w:pPr>
        <w:pStyle w:val="SingleTxtG"/>
      </w:pPr>
      <w:r>
        <w:t xml:space="preserve">3.</w:t>
      </w:r>
      <w:r>
        <w:tab/>
      </w:r>
      <w:r>
        <w:t xml:space="preserve">Het Comité erkent dat de handhaving van de openbare veiligheid een legitieme doelstelling is van het rechtsstelsel, met inbegrip van het kinderrechtsstelsel.</w:t>
      </w:r>
      <w:r>
        <w:t xml:space="preserve"> </w:t>
      </w:r>
      <w:r>
        <w:t xml:space="preserve">De Staten die partij zijn, dienen dit doel echter invulling te geven met inachtneming van hun verplichtingen om de beginselen van het kinderrecht, zoals die zijn vastgelegd in het Verdrag inzake de Rechten van het Kind, te eerbiedigen en toe te passen.</w:t>
      </w:r>
      <w:r>
        <w:t xml:space="preserve"> </w:t>
      </w:r>
      <w:r>
        <w:t xml:space="preserve">Zoals in artikel 40 van het Verdrag duidelijk wordt gesteld, dient elk kind dat wordt verdacht van, beschuldigd van of erkend als een kind dat het strafrecht heeft geschonden, altijd te worden behandeld op een wijze die verenigbaar is met de bevordering van het gevoel van waardigheid en waarde van het kind.</w:t>
      </w:r>
      <w:r>
        <w:t xml:space="preserve"> </w:t>
      </w:r>
      <w:r>
        <w:t xml:space="preserve">Er is aangetoond dat de criminaliteit die door kinderen wordt gepleegd, na de invoering van systemen die in overeenstemming zijn met deze beginselen, meestal afneemt.</w:t>
      </w:r>
      <w:r>
        <w:t xml:space="preserve"> </w:t>
      </w:r>
    </w:p>
    <w:p w14:paraId="3313C637" w14:textId="1418AAE0" w:rsidR="004E782F" w:rsidRPr="0023048B" w:rsidRDefault="009E19E9" w:rsidP="0075567E">
      <w:pPr>
        <w:pStyle w:val="SingleTxtG"/>
      </w:pPr>
      <w:r>
        <w:t xml:space="preserve">4.</w:t>
      </w:r>
      <w:r>
        <w:tab/>
      </w:r>
      <w:r>
        <w:t xml:space="preserve">Het Comité is ingenomen met de vele inspanningen die zijn geleverd om kinderrechtsstelsels op te zetten die in overeenstemming zijn met het Verdrag.</w:t>
      </w:r>
      <w:r>
        <w:t xml:space="preserve"> </w:t>
      </w:r>
      <w:r>
        <w:t xml:space="preserve">Het prijst Staten die bepalingen hebben die gunstiger zijn voor de rechten van het kind dan die welke in het Verdrag en dit general comment zijn opgenomen en zij worden eraan herinnerd dat zij overeenkomstig artikel 41 van het Verdrag geen enkele stap terug mogen doen.</w:t>
      </w:r>
      <w:r>
        <w:t xml:space="preserve"> </w:t>
      </w:r>
      <w:r>
        <w:t xml:space="preserve">Uit de verslagen van de Staten die partij zijn, blijkt dat veel Staten die partij zijn nog aanzienlijke investeringen behoeven om het Verdrag volledig na te leven, met name wat preventie, vroegtijdige interventie, de ontwikkeling en uitvoering van maatregelen voor buitengerechtelijke afdoening, een multidisciplinaire aanpak, de minimumleeftijd voor strafrechtelijke aansprakelijkheid en de vermindering van de vrijheidsstraf betreft.</w:t>
      </w:r>
      <w:r>
        <w:t xml:space="preserve"> </w:t>
      </w:r>
      <w:r>
        <w:t xml:space="preserve">Het Comité vestigt de aandacht van de Staten op het rapport van de Onafhankelijke </w:t>
        <w:br/>
        <w:t xml:space="preserve">Deskundige die leiding geeft aan de wereldwijde studie van de Verenigde Naties over kinderen die van hun vrijheid zijn beroofd (A/74/136), welk rapport is ingediend naar aanleiding van Resolutie 69/157 van de Algemene Vergadering van de Verenigde Naties en die op initiatief van het Comité is opgesteld.</w:t>
      </w:r>
    </w:p>
    <w:p w14:paraId="18A7FEB4" w14:textId="68972800" w:rsidR="004E782F" w:rsidRPr="001733C8" w:rsidRDefault="007A47DA" w:rsidP="001733C8">
      <w:pPr>
        <w:pStyle w:val="SingleTxtG"/>
        <w:rPr>
          <w:b/>
        </w:rPr>
      </w:pPr>
      <w:r>
        <w:t xml:space="preserve">5.</w:t>
      </w:r>
      <w:r>
        <w:tab/>
      </w:r>
      <w:r>
        <w:t xml:space="preserve">In het afgelopen decennium hebben internationale en regionale instanties verschillende verklaringen en richtsnoeren aangenomen die de toegang tot de rechter en kindvriendelijk recht bevorderen.</w:t>
      </w:r>
      <w:r>
        <w:t xml:space="preserve"> </w:t>
      </w:r>
      <w:r>
        <w:t xml:space="preserve">Deze kaders zijn van toepassing op kinderen in alle aspecten van de rechtsstelsels, met inbegrip van kinderen die het slachtoffer of getuige zijn van een misdrijf, kinderen in welzijnsprocedures en kinderen voor administratieve rechtbanken.</w:t>
      </w:r>
      <w:r>
        <w:t xml:space="preserve"> </w:t>
      </w:r>
      <w:r>
        <w:t xml:space="preserve">Deze ontwikkelingen, hoe waardevol ook, vallen buiten het bestek van dit general comment, dat zich richt op kinderen die verdacht, beschuldigd of erkend worden als overtreders van het strafrecht.</w:t>
      </w:r>
      <w:r>
        <w:rPr>
          <w:b/>
        </w:rPr>
        <w:t xml:space="preserve"> </w:t>
      </w:r>
    </w:p>
    <w:p w14:paraId="6891BDC8" w14:textId="09E689DB" w:rsidR="00B4744E" w:rsidRDefault="004E782F" w:rsidP="004E782F">
      <w:pPr>
        <w:pStyle w:val="HChG"/>
      </w:pPr>
      <w:r>
        <w:tab/>
      </w:r>
      <w:r>
        <w:t xml:space="preserve">II.</w:t>
      </w:r>
      <w:r>
        <w:tab/>
      </w:r>
      <w:r>
        <w:t xml:space="preserve">Doelstellingen en toepassingsgebied</w:t>
      </w:r>
      <w:r>
        <w:t xml:space="preserve"> </w:t>
      </w:r>
    </w:p>
    <w:p w14:paraId="7FE3073E" w14:textId="6167FA5B" w:rsidR="004E782F" w:rsidRPr="00094C5E" w:rsidRDefault="007A47DA" w:rsidP="007A47DA">
      <w:pPr>
        <w:pStyle w:val="SingleTxtG"/>
      </w:pPr>
      <w:r>
        <w:t xml:space="preserve">6.</w:t>
      </w:r>
      <w:r>
        <w:tab/>
      </w:r>
      <w:r>
        <w:t xml:space="preserve">De doelstellingen en het toepassingsgebied van dit general comment zijn:</w:t>
      </w:r>
    </w:p>
    <w:p w14:paraId="7B4FDD32" w14:textId="6B3CFB4B" w:rsidR="00FC24BF" w:rsidRPr="001733C8" w:rsidRDefault="009E19E9" w:rsidP="0075567E">
      <w:pPr>
        <w:pStyle w:val="SingleTxtG"/>
        <w:ind w:firstLine="567"/>
      </w:pPr>
      <w:r>
        <w:t xml:space="preserve">(a) het op een eigentijdse manier in overweging nemen van de relevante artikelen en beginselen van het Verdrag inzake de Rechten van het Kind en de Staten leiden naar een holistische implementatie van kinderrechtsstelsels die de rechten van het kind bevorderen en beschermen;</w:t>
      </w:r>
    </w:p>
    <w:p w14:paraId="2D736960" w14:textId="08ABCF38" w:rsidR="001C449E" w:rsidRDefault="009E19E9" w:rsidP="0075567E">
      <w:pPr>
        <w:pStyle w:val="SingleTxtG"/>
        <w:ind w:firstLine="567"/>
      </w:pPr>
      <w:r>
        <w:t xml:space="preserve">(b) het herhalen van het belang van preventie, vroegtijdige interventie en bescherming van de rechten van het kind in alle fasen van het systeem;</w:t>
      </w:r>
    </w:p>
    <w:p w14:paraId="41E5C8DD" w14:textId="2A5FD2D1" w:rsidR="00FC24BF" w:rsidRPr="001733C8" w:rsidRDefault="009E19E9" w:rsidP="0075567E">
      <w:pPr>
        <w:pStyle w:val="SingleTxtG"/>
        <w:ind w:firstLine="567"/>
      </w:pPr>
      <w:r>
        <w:t xml:space="preserve">(c) het bevorderen van belangrijke strategieën om de bijzonder schadelijke gevolgen van contacten met het strafrechtsstelsel te verminderen, in overeenstemming met de toegenomen kennis over de ontwikkeling van kinderen, in het bijzonder:</w:t>
      </w:r>
    </w:p>
    <w:p w14:paraId="2849BB00" w14:textId="275ABDFB" w:rsidR="00167A57" w:rsidRPr="0075567E" w:rsidRDefault="009E19E9" w:rsidP="0075567E">
      <w:pPr>
        <w:pStyle w:val="SingleTxtG"/>
        <w:ind w:left="1701"/>
      </w:pPr>
      <w:r>
        <w:t xml:space="preserve">(i) het vaststellen van een passende minimumleeftijd voor strafrechtelijke aansprakelijkheid en het waarborgen van een passende behandeling van kinderen aan weerszijden van die leeftijd;</w:t>
      </w:r>
    </w:p>
    <w:p w14:paraId="2757B04F" w14:textId="60CBB83D" w:rsidR="00FC24BF" w:rsidRPr="0075567E" w:rsidRDefault="009E19E9" w:rsidP="0075567E">
      <w:pPr>
        <w:pStyle w:val="SingleTxtG"/>
        <w:ind w:left="1701"/>
      </w:pPr>
      <w:r>
        <w:t xml:space="preserve">(ii) het opschroeven van de buitengerechtelijke afdoening van kinderen weg van de formele rechtsgang en het leiden naar doeltreffende programma's;</w:t>
      </w:r>
      <w:r>
        <w:t xml:space="preserve"> </w:t>
      </w:r>
    </w:p>
    <w:p w14:paraId="6A13A15C" w14:textId="66529B1B" w:rsidR="00FC24BF" w:rsidRPr="0075567E" w:rsidRDefault="009E19E9" w:rsidP="0075567E">
      <w:pPr>
        <w:pStyle w:val="SingleTxtG"/>
        <w:ind w:left="1701"/>
      </w:pPr>
      <w:r>
        <w:t xml:space="preserve">(iii) het uitbreiden van het gebruik van niet tot vrijheidsbeneming strekkende maatregelen om ervoor te zorgen, dat detentie van kinderen een laatste redmiddel is;</w:t>
      </w:r>
    </w:p>
    <w:p w14:paraId="0E223E63" w14:textId="6FCA50D7" w:rsidR="00FC24BF" w:rsidRPr="0075567E" w:rsidRDefault="009E19E9" w:rsidP="0075567E">
      <w:pPr>
        <w:pStyle w:val="SingleTxtG"/>
        <w:ind w:left="1701"/>
      </w:pPr>
      <w:r>
        <w:t xml:space="preserve">(iv) het beëindigen van het gebruik van lijfstraffen, de doodstraf en levenslange gevangenisstraffen;</w:t>
      </w:r>
    </w:p>
    <w:p w14:paraId="52C00806" w14:textId="5A4154EC" w:rsidR="00FC24BF" w:rsidRPr="0075567E" w:rsidRDefault="009E19E9" w:rsidP="0075567E">
      <w:pPr>
        <w:pStyle w:val="SingleTxtG"/>
        <w:ind w:left="1701"/>
      </w:pPr>
      <w:r>
        <w:t xml:space="preserve">(v) voor de weinige situaties waarin vrijheidsbeneming als laatste redmiddel gerechtvaardigd is, ervoor zorgen dat dit uitsluitend voor oudere kinderen toegepast wordt, voor een strikt beperkte periode geldt en onderworpen is aan een regelmatige toetsing;</w:t>
      </w:r>
    </w:p>
    <w:p w14:paraId="7EE9E08D" w14:textId="1D5B915A" w:rsidR="007535BD" w:rsidRPr="00094C5E" w:rsidRDefault="009E19E9" w:rsidP="0075567E">
      <w:pPr>
        <w:pStyle w:val="SingleTxtG"/>
        <w:ind w:firstLine="567"/>
      </w:pPr>
      <w:r>
        <w:t xml:space="preserve">(d) het bevorderen van de versterking van systemen door een betere organisatie, capaciteitsopbouw, gegevensverzameling, evaluatie en onderzoek;</w:t>
      </w:r>
      <w:r>
        <w:t xml:space="preserve"> </w:t>
      </w:r>
    </w:p>
    <w:p w14:paraId="4362D6D0" w14:textId="309C8523" w:rsidR="00FC24BF" w:rsidRPr="009A6C0E" w:rsidRDefault="009E19E9" w:rsidP="0075567E">
      <w:pPr>
        <w:pStyle w:val="SingleTxtG"/>
        <w:ind w:firstLine="567"/>
      </w:pPr>
      <w:r>
        <w:t xml:space="preserve">(e) het verstrekken van begeleiding bij nieuwe ontwikkelingen op dit gebied, met name de rekrutering en het gebruik van kinderen door niet-gouvernementele gewapende groepen, met inbegrip van die welke als terroristische groeperingen zijn aangewezen, en kinderen die in contact komen met de gewoonterechtelijke, inheemse en niet-gouvernementele rechtsstelsels.</w:t>
      </w:r>
    </w:p>
    <w:p w14:paraId="09F8ED90" w14:textId="2B3A327A" w:rsidR="004E782F" w:rsidRPr="00EB6EA1" w:rsidRDefault="004E782F" w:rsidP="00EB6EA1">
      <w:pPr>
        <w:pStyle w:val="HChG"/>
      </w:pPr>
      <w:r>
        <w:tab/>
      </w:r>
      <w:r>
        <w:t xml:space="preserve">III.</w:t>
      </w:r>
      <w:r>
        <w:tab/>
      </w:r>
      <w:r>
        <w:t xml:space="preserve">Terminologie</w:t>
      </w:r>
    </w:p>
    <w:p w14:paraId="55F66463" w14:textId="3B50335E" w:rsidR="00F53FEA" w:rsidRDefault="007A47DA" w:rsidP="007A47DA">
      <w:pPr>
        <w:pStyle w:val="SingleTxtG"/>
      </w:pPr>
      <w:r>
        <w:t xml:space="preserve">7.</w:t>
      </w:r>
      <w:r>
        <w:tab/>
      </w:r>
      <w:r>
        <w:t xml:space="preserve">Het Comité moedigt het gebruik aan van niet-stigmatiserende taal met betrekking tot kinderen die worden verdacht van of beschuldigd van het overtreden van het strafrecht of als zodanig worden erkend.</w:t>
      </w:r>
    </w:p>
    <w:p w14:paraId="2DBE65E3" w14:textId="1D00B582" w:rsidR="004E782F" w:rsidRPr="000435F2" w:rsidRDefault="007A47DA" w:rsidP="007A47DA">
      <w:pPr>
        <w:pStyle w:val="SingleTxtG"/>
      </w:pPr>
      <w:r>
        <w:t xml:space="preserve">8.</w:t>
      </w:r>
      <w:r>
        <w:tab/>
      </w:r>
      <w:r>
        <w:t xml:space="preserve">Belangrijke termen die in dit general comment worden gebruikt, worden hieronder opgesomd.</w:t>
      </w:r>
    </w:p>
    <w:p w14:paraId="755C9578" w14:textId="3F4005CE" w:rsidR="00CD5BFB" w:rsidRDefault="009E19E9" w:rsidP="0075567E">
      <w:pPr>
        <w:pStyle w:val="Bullet1G"/>
        <w:numPr>
          <w:ilvl w:val="0"/>
          <w:numId w:val="0"/>
        </w:numPr>
        <w:tabs>
          <w:tab w:val="left" w:pos="1701"/>
        </w:tabs>
        <w:ind w:left="1701" w:hanging="170"/>
      </w:pPr>
      <w:r>
        <w:t xml:space="preserve">•</w:t>
        <w:tab/>
        <w:t xml:space="preserve"> Geschikte volwassene: in situaties waarin de ouder of wettelijke voogd niet beschikbaar is om het kind bij te staan, dienen de Staten die partij zijn, een geschikte volwassene toe te laten om het kind bij te staan.</w:t>
      </w:r>
      <w:r>
        <w:t xml:space="preserve"> </w:t>
      </w:r>
      <w:r>
        <w:t xml:space="preserve">Een geschikte volwassene kan een persoon zijn die door het kind en/of de bevoegde autoriteit is aangewezen.</w:t>
      </w:r>
      <w:r>
        <w:t xml:space="preserve"> </w:t>
      </w:r>
    </w:p>
    <w:p w14:paraId="40A0254C" w14:textId="6DC4280B" w:rsidR="00CD5BFB" w:rsidRPr="000435F2" w:rsidRDefault="009E19E9" w:rsidP="0075567E">
      <w:pPr>
        <w:pStyle w:val="Bullet1G"/>
        <w:numPr>
          <w:ilvl w:val="0"/>
          <w:numId w:val="0"/>
        </w:numPr>
        <w:tabs>
          <w:tab w:val="left" w:pos="1701"/>
        </w:tabs>
        <w:ind w:left="1701" w:hanging="170"/>
      </w:pPr>
      <w:r>
        <w:t xml:space="preserve">•</w:t>
        <w:tab/>
        <w:t xml:space="preserve"> Kinderrechtsstelsel:</w:t>
      </w:r>
      <w:r w:rsidR="008D002F" w:rsidRPr="007E44F0">
        <w:rPr>
          <w:rStyle w:val="Voetnootmarkering"/>
          <w:lang w:val="en-US"/>
        </w:rPr>
        <w:footnoteReference w:id="2"/>
      </w:r>
      <w:r>
        <w:t xml:space="preserve"> de wetgeving, normen en standaarden, procedures, mechanismen en bepalingen die specifiek van toepassing zijn op, en instellingen en organen die zijn opgericht voor het omgaan met, kinderen die als daders worden beschouwd.</w:t>
      </w:r>
      <w:r>
        <w:t xml:space="preserve"> </w:t>
      </w:r>
    </w:p>
    <w:p w14:paraId="412DCE0A" w14:textId="19411E64" w:rsidR="004E782F" w:rsidRPr="000435F2" w:rsidRDefault="009E19E9" w:rsidP="0075567E">
      <w:pPr>
        <w:pStyle w:val="Bullet1G"/>
        <w:numPr>
          <w:ilvl w:val="0"/>
          <w:numId w:val="0"/>
        </w:numPr>
        <w:tabs>
          <w:tab w:val="left" w:pos="1701"/>
        </w:tabs>
        <w:ind w:left="1701" w:hanging="170"/>
      </w:pPr>
      <w:r>
        <w:t xml:space="preserve">•</w:t>
        <w:tab/>
        <w:t xml:space="preserve">Vrijheidsberoving: elke vorm van detentie of gevangenneming of plaatsing van een persoon in een openbare of particuliere detentieomgeving, van waaruit deze persoon niet naar believen mag vertrekken, op bevel van een gerechtelijke, administratieve of andere overheidsinstantie.</w:t>
      </w:r>
      <w:r w:rsidR="004E782F" w:rsidRPr="000435F2">
        <w:rPr>
          <w:rStyle w:val="Voetnootmarkering"/>
          <w:lang w:val="en-US"/>
        </w:rPr>
        <w:footnoteReference w:id="3"/>
      </w:r>
    </w:p>
    <w:p w14:paraId="15463D69" w14:textId="7237A77C" w:rsidR="004E782F" w:rsidRPr="000435F2" w:rsidRDefault="009E19E9" w:rsidP="0075567E">
      <w:pPr>
        <w:pStyle w:val="Bullet1G"/>
        <w:numPr>
          <w:ilvl w:val="0"/>
          <w:numId w:val="0"/>
        </w:numPr>
        <w:tabs>
          <w:tab w:val="left" w:pos="1701"/>
        </w:tabs>
        <w:ind w:left="1701" w:hanging="170"/>
      </w:pPr>
      <w:r>
        <w:t xml:space="preserve">•</w:t>
        <w:tab/>
        <w:t xml:space="preserve">Buitengerechtelijke afdoening: maatregelen om kinderen te allen tijde vóór of tijdens de desbetreffende procedure buiten het rechtssysteem te houden.</w:t>
      </w:r>
      <w:r>
        <w:t xml:space="preserve"> </w:t>
      </w:r>
    </w:p>
    <w:p w14:paraId="426C178B" w14:textId="00ADDFF7" w:rsidR="004E782F" w:rsidRDefault="009E19E9" w:rsidP="0075567E">
      <w:pPr>
        <w:pStyle w:val="Bullet1G"/>
        <w:numPr>
          <w:ilvl w:val="0"/>
          <w:numId w:val="0"/>
        </w:numPr>
        <w:tabs>
          <w:tab w:val="left" w:pos="1701"/>
        </w:tabs>
        <w:ind w:left="1701" w:hanging="170"/>
      </w:pPr>
      <w:r>
        <w:t xml:space="preserve">•</w:t>
        <w:tab/>
        <w:t xml:space="preserve">Minimumleeftijd voor strafrechtelijke aansprakelijkheid: de minimumleeftijd waaronder de wet bepaalt dat kinderen niet in staat zijn het strafrecht te overtreden.</w:t>
      </w:r>
      <w:r>
        <w:t xml:space="preserve"> </w:t>
      </w:r>
    </w:p>
    <w:p w14:paraId="3E9121E5" w14:textId="7F1A18B3" w:rsidR="00601A29" w:rsidRPr="000435F2" w:rsidRDefault="009E19E9" w:rsidP="0075567E">
      <w:pPr>
        <w:pStyle w:val="Bullet1G"/>
        <w:numPr>
          <w:ilvl w:val="0"/>
          <w:numId w:val="0"/>
        </w:numPr>
        <w:tabs>
          <w:tab w:val="left" w:pos="1701"/>
        </w:tabs>
        <w:ind w:left="1701" w:hanging="170"/>
      </w:pPr>
      <w:r>
        <w:t xml:space="preserve">•</w:t>
        <w:tab/>
        <w:t xml:space="preserve">Voorlopige hechtenis: detentie vanaf het moment van de aanhouding tot het stadium van de beschikking of het vonnis, met inbegrip van detentie gedurende het gehele proces.</w:t>
      </w:r>
    </w:p>
    <w:p w14:paraId="3AAB8CE4" w14:textId="5614AAA2" w:rsidR="00BB5A1D" w:rsidRDefault="009E19E9" w:rsidP="0075567E">
      <w:pPr>
        <w:pStyle w:val="Bullet1G"/>
        <w:numPr>
          <w:ilvl w:val="0"/>
          <w:numId w:val="0"/>
        </w:numPr>
        <w:tabs>
          <w:tab w:val="left" w:pos="1701"/>
        </w:tabs>
        <w:ind w:left="1701" w:hanging="170"/>
      </w:pPr>
      <w:r>
        <w:t xml:space="preserve">•</w:t>
        <w:tab/>
        <w:t xml:space="preserve">Herstelrecht: elk proces waarbij het slachtoffer, de dader en/of elk ander persoon of lid van de gemeenschap die door een misdrijf wordt getroffen, actief meewerkt aan de oplossing van zaken die uit het misdrijf voortvloeien, vaak met de hulp van een eerlijke en onpartijdige derde partij.</w:t>
      </w:r>
      <w:r>
        <w:t xml:space="preserve"> </w:t>
      </w:r>
      <w:r>
        <w:t xml:space="preserve">Voorbeelden van herstelprocessen zijn onder meer bemiddeling, overleg, verzoening en sentencing circles.</w:t>
      </w:r>
      <w:r w:rsidR="004E782F">
        <w:rPr>
          <w:rStyle w:val="Voetnootmarkering"/>
          <w:kern w:val="2"/>
        </w:rPr>
        <w:footnoteReference w:id="4"/>
      </w:r>
    </w:p>
    <w:p w14:paraId="5B1B0CA3" w14:textId="2BF9659E" w:rsidR="004E782F" w:rsidRPr="000435F2" w:rsidRDefault="00702C9E" w:rsidP="00702C9E">
      <w:pPr>
        <w:pStyle w:val="HChG"/>
      </w:pPr>
      <w:r>
        <w:tab/>
      </w:r>
      <w:r>
        <w:t xml:space="preserve">IV.</w:t>
      </w:r>
      <w:r>
        <w:tab/>
      </w:r>
      <w:r>
        <w:t xml:space="preserve">Kernelementen van een alomvattend beleid inzake kinderrecht</w:t>
      </w:r>
    </w:p>
    <w:p w14:paraId="5F682EAD" w14:textId="19BC176C" w:rsidR="004E782F" w:rsidRPr="008C2E56" w:rsidRDefault="004E782F" w:rsidP="00702C9E">
      <w:pPr>
        <w:pStyle w:val="H1G"/>
      </w:pPr>
      <w:r>
        <w:tab/>
      </w:r>
      <w:r>
        <w:t xml:space="preserve">A.</w:t>
        <w:tab/>
        <w:t xml:space="preserve">Preventie van kindercriminaliteit, met inbegrip van vroegtijdige interventie gericht op kinderen jonger dan de minimumleeftijd voor strafrechtelijke aansprakelijkheid</w:t>
      </w:r>
    </w:p>
    <w:p w14:paraId="3AD39F01" w14:textId="7748CB62" w:rsidR="004E782F" w:rsidRPr="00EE487B" w:rsidRDefault="00702C9E" w:rsidP="00702C9E">
      <w:pPr>
        <w:pStyle w:val="SingleTxtG"/>
      </w:pPr>
      <w:r>
        <w:t xml:space="preserve">9.</w:t>
      </w:r>
      <w:r>
        <w:tab/>
      </w:r>
      <w:r>
        <w:t xml:space="preserve">De Staten die partij zijn, dienen de Modelstrategieën en Praktische Maatregelen van de Verenigde Naties inzake de Uitbanning van Geweld tegen Kinderen op het Gebied van Criminaliteitspreventie en Strafrecht en vergelijkend nationaal en internationaal onderzoek naar de diepere oorzaken van de betrokkenheid van kinderen bij het kinderrechtsstelsel te raadplegen en hun eigen onderzoek te verrichten ter ondersteuning van de ontwikkeling van een preventiestrategie.</w:t>
      </w:r>
      <w:r>
        <w:t xml:space="preserve"> </w:t>
      </w:r>
      <w:r>
        <w:rPr>
          <w:shd w:val="clear" w:color="auto" w:fill="FFFFFF"/>
        </w:rPr>
        <w:t xml:space="preserve">Onderzoek heeft aangetoond dat intensieve familie- en gemeenschapsbehandelingsprogramma's, die bedoeld zijn om positieve veranderingen aan te brengen in aspecten van de verschillende sociale systemen (thuis, school, gemeenschap, relaties met gelijken) en die bijdragen aan de ernstige gedragsproblemen van kinderen, het risico verminderen dat kinderen in kinderrechtsystemen terechtkomen.</w:t>
      </w:r>
      <w:r>
        <w:t xml:space="preserve"> </w:t>
      </w:r>
      <w:r>
        <w:t xml:space="preserve">Programma's voor preventie en vroegtijdige interventie dienen gericht te zijn op steun voor gezinnen, met name gezinnen die zich in een kwetsbare situatie bevinden of waarin zich geweld voordoet.</w:t>
      </w:r>
      <w:r>
        <w:t xml:space="preserve"> </w:t>
      </w:r>
      <w:r>
        <w:t xml:space="preserve">Er dient hulp te worden verleend aan kinderen die gevaar lopen, met name kinderen die niet meer naar school gaan, hiervan uitgesloten zijn of anderszins hun opleiding niet afmaken.</w:t>
      </w:r>
      <w:r>
        <w:t xml:space="preserve"> </w:t>
      </w:r>
      <w:r>
        <w:t xml:space="preserve">Ondersteuning van leeftijdsgenoten en een sterke betrokkenheid van de ouders zijn aan te bevelen.</w:t>
      </w:r>
      <w:r>
        <w:t xml:space="preserve"> </w:t>
      </w:r>
      <w:r>
        <w:t xml:space="preserve">De Staten die partij zijn, dienen ook op de gemeenschap gebaseerde diensten en programma's te ontwikkelen die beantwoorden aan de specifieke behoeften, problemen, zorgen en belangen van kinderen en die voorzien in passende begeleiding en advies voor hun families.</w:t>
      </w:r>
    </w:p>
    <w:p w14:paraId="28A2D3FD" w14:textId="45828309" w:rsidR="00A2676D" w:rsidRDefault="00702C9E" w:rsidP="00702C9E">
      <w:pPr>
        <w:pStyle w:val="SingleTxtG"/>
      </w:pPr>
      <w:r>
        <w:t xml:space="preserve">10.</w:t>
      </w:r>
      <w:r>
        <w:tab/>
      </w:r>
      <w:r>
        <w:t xml:space="preserve">De artikelen 18 en 27 van het Verdrag bevestigen het belang van de verantwoordelijkheid van de ouders voor de opvoeding van hun kinderen, maar tegelijkertijd verplicht het Verdrag de Staten die partij zijn de ouders (of andere verzorgers) de nodige bijstand te verlenen bij de opvoeding van hun kinderen.</w:t>
      </w:r>
      <w:r>
        <w:t xml:space="preserve"> </w:t>
      </w:r>
      <w:r>
        <w:t xml:space="preserve">Investeringen in opvang en onderwijs voor jonge kinderen gaan gepaard met minder geweld en criminaliteit in de toekomst.</w:t>
      </w:r>
      <w:r>
        <w:t xml:space="preserve"> </w:t>
      </w:r>
      <w:r>
        <w:t xml:space="preserve">Dit kan al op zeer jonge leeftijd beginnen, bijvoorbeeld met programma's voor huisbezoek om de opvoedingscapaciteiten te vergroten.</w:t>
      </w:r>
      <w:r>
        <w:t xml:space="preserve"> </w:t>
      </w:r>
      <w:r>
        <w:t xml:space="preserve">Bij de steunmaatregelen dient gebruik te worden gemaakt van de schat aan informatie over preventieprogramma's voor de gemeenschap en het gezin, zoals programma's ter verbetering van de interactie tussen ouders en kinderen, partnerschappen met scholen, positieve band met leeftijdsgenoten en culturele en vrijetijdsactiviteiten.</w:t>
      </w:r>
      <w:r>
        <w:t xml:space="preserve"> </w:t>
      </w:r>
    </w:p>
    <w:p w14:paraId="6387C260" w14:textId="5B3F406C" w:rsidR="004E782F" w:rsidRPr="00EE487B" w:rsidRDefault="00702C9E" w:rsidP="00702C9E">
      <w:pPr>
        <w:pStyle w:val="SingleTxtG"/>
      </w:pPr>
      <w:r>
        <w:t xml:space="preserve">11.</w:t>
      </w:r>
      <w:r>
        <w:tab/>
      </w:r>
      <w:r>
        <w:t xml:space="preserve">Vroegtijdige interventie bij kinderen die jonger zijn dan de minimumleeftijd voor strafrechtelijke aansprakelijkheid vereist een kindvriendelijke en multidisciplinaire reactie op de eerste tekenen van gedrag dat, als het kind de minimumleeftijd voor strafrechtelijke aansprakelijkheid zou overschrijden, als een strafbaar feit zou worden beschouwd.</w:t>
      </w:r>
      <w:r>
        <w:t xml:space="preserve"> </w:t>
      </w:r>
      <w:r>
        <w:t xml:space="preserve">Er dienen empirisch onderbouwde interventieprogramma's te worden ontwikkeld die niet alleen de meervoudige psychosociale oorzaken van dergelijk gedrag weerspiegelen, maar ook de beschermende factoren die de veerkracht kunnen versterken.</w:t>
      </w:r>
      <w:r>
        <w:t xml:space="preserve"> </w:t>
      </w:r>
      <w:r>
        <w:t xml:space="preserve">Interventies dienen te worden voorafgegaan door een uitgebreide en interdisciplinaire evaluatie van de behoeften van het kind.</w:t>
      </w:r>
      <w:r>
        <w:t xml:space="preserve"> </w:t>
      </w:r>
      <w:r>
        <w:t xml:space="preserve">Als absolute prioriteit dienen kinderen in hun familie en gemeenschap te worden ondersteund.</w:t>
      </w:r>
      <w:r>
        <w:t xml:space="preserve"> </w:t>
      </w:r>
      <w:r>
        <w:t xml:space="preserve">In de uitzonderlijke gevallen die uithuisplaatsing vereisen, dient deze alternatieve zorg bij voorkeur in een gezinssituatie plaats te vinden, hoewel plaatsing in een woonopvangcentrum in sommige gevallen passend kan zijn om de nodige professionele diensten te verlenen.</w:t>
      </w:r>
      <w:r>
        <w:t xml:space="preserve"> </w:t>
      </w:r>
      <w:r>
        <w:t xml:space="preserve">Het mag alleen worden gebruikt als laatste redmiddel en voor de kortst mogelijke termijn en dient aan rechterlijke toetsing te worden onderworpen.</w:t>
      </w:r>
    </w:p>
    <w:p w14:paraId="62D8C4D8" w14:textId="78EBD702" w:rsidR="00A53158" w:rsidRPr="00A53158" w:rsidRDefault="00702C9E" w:rsidP="00702C9E">
      <w:pPr>
        <w:pStyle w:val="SingleTxtG"/>
      </w:pPr>
      <w:r>
        <w:t xml:space="preserve">12.</w:t>
      </w:r>
      <w:r>
        <w:tab/>
      </w:r>
      <w:r>
        <w:t xml:space="preserve">Een systemische aanpak van preventie omvat ook het afsluiten van trajecten naar het kinderrechtsstelsel door het decriminaliseren van overtredingen zoals schoolverzuim, weglopen, bedelen of op verboden terrein komen, die vaak het gevolg zijn van armoede, dakloosheid of geweld binnen het gezin.</w:t>
      </w:r>
      <w:r>
        <w:t xml:space="preserve"> </w:t>
      </w:r>
      <w:r>
        <w:t xml:space="preserve">Kinderen die het slachtoffer zijn van seksuele uitbuiting en adolescenten die met elkaar seksuele handelingen ondernemen met wederzijds goedvinden, worden soms ook gecriminaliseerd.</w:t>
      </w:r>
      <w:r>
        <w:t xml:space="preserve"> </w:t>
      </w:r>
      <w:r>
        <w:t xml:space="preserve">Deze handelingen, ook wel statusdelicten genoemd, worden niet als misdrijven beschouwd indien ze door volwassenen worden gepleegd.</w:t>
      </w:r>
      <w:r>
        <w:t xml:space="preserve"> </w:t>
      </w:r>
      <w:r>
        <w:t xml:space="preserve">Het Comité dringt er bij de Staten die partij zijn op aan om de statusdelicten uit hun statuten te schrappen.</w:t>
      </w:r>
    </w:p>
    <w:p w14:paraId="214FA7E8" w14:textId="24974CF9" w:rsidR="004E782F" w:rsidRPr="000435F2" w:rsidRDefault="004E782F" w:rsidP="004E782F">
      <w:pPr>
        <w:pStyle w:val="H1G"/>
      </w:pPr>
      <w:r>
        <w:tab/>
      </w:r>
      <w:r>
        <w:t xml:space="preserve">B.</w:t>
        <w:tab/>
        <w:t xml:space="preserve">Interventies voor kinderen ouder dan de minimumleeftijd voor strafrechtelijke aansprakelijkheid</w:t>
      </w:r>
      <w:r w:rsidR="00614C17" w:rsidRPr="0075567E">
        <w:rPr>
          <w:rStyle w:val="Voetnootmarkering"/>
          <w:b w:val="0"/>
          <w:bCs/>
        </w:rPr>
        <w:footnoteReference w:id="5"/>
      </w:r>
      <w:r>
        <w:t xml:space="preserve"> </w:t>
      </w:r>
    </w:p>
    <w:p w14:paraId="07E93964" w14:textId="0861CB85" w:rsidR="004E782F" w:rsidRPr="008B6BC1" w:rsidRDefault="00702C9E" w:rsidP="00702C9E">
      <w:pPr>
        <w:pStyle w:val="SingleTxtG"/>
      </w:pPr>
      <w:r>
        <w:t xml:space="preserve">13.</w:t>
      </w:r>
      <w:r>
        <w:tab/>
      </w:r>
      <w:r>
        <w:t xml:space="preserve">Op grond van artikel 40 (3) (b) van het Verdrag zijn de Staten die partij zijn waar nodig verplicht  de invoering van maatregelen voor de behandeling van kinderen te bevorderen zonder een beroep te doen op gerechtelijke procedures.</w:t>
      </w:r>
      <w:r>
        <w:t xml:space="preserve"> </w:t>
      </w:r>
      <w:r>
        <w:t xml:space="preserve">In de praktijk kunnen de maatregelen over het algemeen in twee categorieën worden ingedeeld:</w:t>
      </w:r>
      <w:r>
        <w:t xml:space="preserve"> </w:t>
      </w:r>
    </w:p>
    <w:p w14:paraId="194B5718" w14:textId="2069AACB" w:rsidR="004E782F" w:rsidRPr="000435F2" w:rsidRDefault="007E44F0" w:rsidP="0075567E">
      <w:pPr>
        <w:pStyle w:val="SingleTxtG"/>
        <w:ind w:firstLine="567"/>
      </w:pPr>
      <w:r>
        <w:t xml:space="preserve">(a)</w:t>
        <w:tab/>
        <w:t xml:space="preserve">Maatregelen om kinderen te allen tijde vóór of tijdens de desbetreffende procedure buiten het rechtssysteem te houden (buitengerechtelijke afdoening).</w:t>
      </w:r>
      <w:r>
        <w:t xml:space="preserve"> </w:t>
      </w:r>
    </w:p>
    <w:p w14:paraId="7A58FC2C" w14:textId="196348DD" w:rsidR="004E782F" w:rsidRPr="000435F2" w:rsidRDefault="009E19E9" w:rsidP="0075567E">
      <w:pPr>
        <w:pStyle w:val="SingleTxtG"/>
        <w:ind w:firstLine="567"/>
      </w:pPr>
      <w:r>
        <w:t xml:space="preserve">(b) </w:t>
        <w:tab/>
        <w:t xml:space="preserve">Maatregelen in het kader van gerechtelijke procedures.</w:t>
      </w:r>
      <w:r>
        <w:t xml:space="preserve"> </w:t>
      </w:r>
    </w:p>
    <w:p w14:paraId="42CF16A0" w14:textId="09C426BC" w:rsidR="004E782F" w:rsidRPr="000435F2" w:rsidRDefault="00FF3D06" w:rsidP="00E61469">
      <w:pPr>
        <w:pStyle w:val="SingleTxtG"/>
      </w:pPr>
      <w:r>
        <w:t xml:space="preserve">14.</w:t>
      </w:r>
      <w:r>
        <w:tab/>
      </w:r>
      <w:r>
        <w:t xml:space="preserve">Het Comité herinnert de Staten die partij zijn eraan, dat er bij de toepassing van maatregelen in het kader van beide soorten interventies alles aan dient te worden gedaan om ervoor te zorgen, dat de mensenrechten en wettelijke waarborgen van het kind volledig worden geëerbiedigd en beschermd.</w:t>
      </w:r>
    </w:p>
    <w:p w14:paraId="1DA3CEAB" w14:textId="450EA322" w:rsidR="004E782F" w:rsidRPr="000435F2" w:rsidRDefault="004E782F" w:rsidP="00702C9E">
      <w:pPr>
        <w:pStyle w:val="H23G"/>
      </w:pPr>
      <w:r>
        <w:tab/>
        <w:tab/>
      </w:r>
      <w:r>
        <w:t xml:space="preserve">Interventies die niet tot gerechtelijke procedures leiden</w:t>
      </w:r>
      <w:r>
        <w:t xml:space="preserve"> </w:t>
      </w:r>
    </w:p>
    <w:p w14:paraId="303C4818" w14:textId="67C360F2" w:rsidR="004E782F" w:rsidRPr="000435F2" w:rsidRDefault="00FF3D06" w:rsidP="00702C9E">
      <w:pPr>
        <w:pStyle w:val="SingleTxtG"/>
      </w:pPr>
      <w:r>
        <w:t xml:space="preserve">15.</w:t>
      </w:r>
      <w:r>
        <w:tab/>
      </w:r>
      <w:r>
        <w:t xml:space="preserve">In veel systemen over de hele wereld zijn maatregelen voor kinderen ingevoerd die niet tot een gerechtelijke procedure leiden en die over het algemeen worden aangeduid als buitengerechtelijke afdoening.</w:t>
      </w:r>
      <w:r>
        <w:t xml:space="preserve"> </w:t>
      </w:r>
      <w:r>
        <w:t xml:space="preserve">Buitengerechtelijke afdoening houdt in dat zaken buiten het formele strafrechtsysteem om worden doorverwezen, meestal naar programma's of activiteiten.</w:t>
      </w:r>
      <w:r>
        <w:t xml:space="preserve"> </w:t>
      </w:r>
      <w:r>
        <w:t xml:space="preserve">Naast het vermijden van stigmatisering en een strafblad levert deze aanpak voor kinderen goede resultaten op, is deze in overeenstemming met de openbare veiligheid en heeft bewezen kosteneffectief te zijn.</w:t>
      </w:r>
    </w:p>
    <w:p w14:paraId="13A68F9F" w14:textId="02129D92" w:rsidR="004E782F" w:rsidRPr="000435F2" w:rsidRDefault="00702C9E" w:rsidP="00702C9E">
      <w:pPr>
        <w:pStyle w:val="SingleTxtG"/>
      </w:pPr>
      <w:r>
        <w:t xml:space="preserve">16.</w:t>
      </w:r>
      <w:r>
        <w:tab/>
      </w:r>
      <w:r>
        <w:t xml:space="preserve">In de meeste gevallen verdient buitengerechtelijke afdoening de voorkeur om met kinderen om te gaan.</w:t>
      </w:r>
      <w:r>
        <w:t xml:space="preserve"> </w:t>
      </w:r>
      <w:r>
        <w:t xml:space="preserve">De Staten die partij zijn, dienen het scala van strafbare feiten waarvoor buitengerechtelijke afdoening mogelijk is, in voorkomend geval met inbegrip van ernstige strafbare feiten, voortdurend uit te breiden.</w:t>
      </w:r>
      <w:r>
        <w:t xml:space="preserve"> </w:t>
      </w:r>
      <w:r>
        <w:t xml:space="preserve">Mogelijkheden tot buitengerechtelijke afdoening dienen zo vroeg mogelijk na contact met het systeem en in verschillende stadia van het proces beschikbaar te zijn.</w:t>
      </w:r>
      <w:r>
        <w:t xml:space="preserve"> </w:t>
      </w:r>
      <w:r>
        <w:t xml:space="preserve">Buitengerechtelijke afdoening dient een integraal onderdeel te zijn van het kinderrechtsstelsel en, in overeenstemming met art.</w:t>
      </w:r>
      <w:r>
        <w:t xml:space="preserve"> </w:t>
      </w:r>
      <w:r>
        <w:t xml:space="preserve">40 (3) (b) van het Verdrag, dienen de mensenrechten en de juridische waarborgen van het kind volledig te worden geëerbiedigd en beschermd in alle processen en programma's.</w:t>
      </w:r>
      <w:r>
        <w:t xml:space="preserve"> </w:t>
      </w:r>
    </w:p>
    <w:p w14:paraId="77E08480" w14:textId="1B8D52DA" w:rsidR="004E782F" w:rsidRPr="0092066F" w:rsidRDefault="00702C9E" w:rsidP="00702C9E">
      <w:pPr>
        <w:pStyle w:val="SingleTxtG"/>
      </w:pPr>
      <w:r>
        <w:t xml:space="preserve">17.</w:t>
      </w:r>
      <w:r>
        <w:tab/>
      </w:r>
      <w:r>
        <w:t xml:space="preserve">Het wordt aan de Staten die partij zijn overgelaten om te beslissen over de precieze aard en de inhoud van de maatregelen inzake buitengerechtelijke afdoening en om de nodige wetgevende en andere maatregelen te nemen voor de tenuitvoerlegging ervan.</w:t>
      </w:r>
      <w:r>
        <w:t xml:space="preserve"> </w:t>
      </w:r>
      <w:r>
        <w:t xml:space="preserve">Het Comité neemt er nota van dat er diverse gemeenschapsprogramma's zijn ontwikkeld, zoals taakstraffen, toezicht en begeleiding door daartoe aangewezen ambtenaren, gezinsbijeenkomsten en andere opties voor herstelrecht, met inbegrip van schadeloosstelling van slachtoffers.</w:t>
      </w:r>
      <w:r>
        <w:t xml:space="preserve"> </w:t>
      </w:r>
    </w:p>
    <w:p w14:paraId="7B48161C" w14:textId="0C620320" w:rsidR="004E782F" w:rsidRPr="000435F2" w:rsidRDefault="00702C9E" w:rsidP="00702C9E">
      <w:pPr>
        <w:pStyle w:val="SingleTxtG"/>
      </w:pPr>
      <w:r>
        <w:t xml:space="preserve">18.</w:t>
      </w:r>
      <w:r>
        <w:tab/>
      </w:r>
      <w:r>
        <w:t xml:space="preserve">Het Comité benadrukt het volgende.</w:t>
      </w:r>
    </w:p>
    <w:p w14:paraId="17853ADE" w14:textId="17B03B2E" w:rsidR="004E782F" w:rsidRPr="00FF3D06" w:rsidRDefault="007E44F0" w:rsidP="0075567E">
      <w:pPr>
        <w:pStyle w:val="SingleTxtG"/>
        <w:ind w:firstLine="567"/>
      </w:pPr>
      <w:r>
        <w:t xml:space="preserve">(a) </w:t>
        <w:tab/>
        <w:t xml:space="preserve">Er mag alleen gebruik worden gemaakt van buitengerechtelijke afdoening wanneer er overtuigend bewijs is dat het kind het vermeende strafbare feit heeft gepleegd, dat het vrijelijk en vrijwillig, zonder intimidatie of druk, de verantwoordelijkheid toegeeft en dat de bekentenis niet tegen het kind zal worden gebruikt in een latere gerechtelijke procedure;</w:t>
      </w:r>
    </w:p>
    <w:p w14:paraId="6D301284" w14:textId="5EDB2036" w:rsidR="004E782F" w:rsidRPr="00FF3D06" w:rsidRDefault="007E44F0" w:rsidP="0075567E">
      <w:pPr>
        <w:pStyle w:val="SingleTxtG"/>
        <w:ind w:firstLine="567"/>
      </w:pPr>
      <w:r>
        <w:t xml:space="preserve">(b)</w:t>
        <w:tab/>
        <w:t xml:space="preserve">De vrije en vrijwillige instemming van het kind voor buitengerechtelijke afdoening dient gebaseerd te zijn op adequate en specifieke informatie over de aard, de inhoud en de duur van de maatregel en op een goed begrip van de gevolgen van het niet-verlenen van medewerking of het niet-voltooien van de maatregel;</w:t>
      </w:r>
    </w:p>
    <w:p w14:paraId="684330CF" w14:textId="1D62C4E9" w:rsidR="004E782F" w:rsidRPr="00FF3D06" w:rsidRDefault="007E44F0" w:rsidP="0075567E">
      <w:pPr>
        <w:pStyle w:val="SingleTxtG"/>
        <w:ind w:firstLine="567"/>
      </w:pPr>
      <w:r>
        <w:t xml:space="preserve">(c)</w:t>
        <w:tab/>
        <w:t xml:space="preserve">De wet dient aan te geven in welke gevallen buitengerechtelijke afdoening mogelijk is en de relevante beslissingen van de politie, het openbaar ministerie en/of andere instanties dienen te worden gereguleerd en herzienbaar te zijn.</w:t>
      </w:r>
      <w:r>
        <w:t xml:space="preserve"> </w:t>
      </w:r>
      <w:r>
        <w:t xml:space="preserve">Alle overheidsfunctionarissen en actoren die deelnemen aan het proces van buitengerechtelijke afdoening dienen de nodige opleiding en ondersteuning te krijgen;</w:t>
      </w:r>
      <w:r>
        <w:t xml:space="preserve"> </w:t>
      </w:r>
    </w:p>
    <w:p w14:paraId="74B473E6" w14:textId="176FA2EB" w:rsidR="004E782F" w:rsidRPr="00FF3D06" w:rsidRDefault="007E44F0" w:rsidP="0075567E">
      <w:pPr>
        <w:pStyle w:val="SingleTxtG"/>
        <w:ind w:firstLine="567"/>
      </w:pPr>
      <w:r>
        <w:t xml:space="preserve">(d)</w:t>
        <w:tab/>
        <w:t xml:space="preserve">Het kind dient in de gelegenheid te worden gesteld juridische of andere passende bijstand te vragen in verband met de door de bevoegde autoriteiten aangeboden buitengerechtelijke afdoening en de mogelijkheid om de maatregel te herzien;</w:t>
      </w:r>
    </w:p>
    <w:p w14:paraId="49CF44AD" w14:textId="5DA06220" w:rsidR="004E782F" w:rsidRPr="00FF3D06" w:rsidRDefault="007E44F0" w:rsidP="0075567E">
      <w:pPr>
        <w:pStyle w:val="SingleTxtG"/>
        <w:ind w:firstLine="567"/>
      </w:pPr>
      <w:r>
        <w:t xml:space="preserve">(e)</w:t>
        <w:tab/>
        <w:t xml:space="preserve">De maatregelen tot buitengerechtelijke afdoening aan een andere bestemming mogen geen vrijheidsbeneming inhouden;</w:t>
      </w:r>
    </w:p>
    <w:p w14:paraId="19B5038C" w14:textId="30C9C90B" w:rsidR="009E1DF4" w:rsidRPr="00FF3D06" w:rsidRDefault="007E44F0" w:rsidP="0075567E">
      <w:pPr>
        <w:pStyle w:val="SingleTxtG"/>
        <w:ind w:firstLine="567"/>
      </w:pPr>
      <w:r>
        <w:t xml:space="preserve">(f)</w:t>
        <w:tab/>
        <w:t xml:space="preserve">De voltooiing van de buitengerechtelijke afdoening dient te leiden tot een afsluiting van de zaak.</w:t>
      </w:r>
      <w:r>
        <w:t xml:space="preserve"> </w:t>
      </w:r>
      <w:r>
        <w:t xml:space="preserve">Hoewel vertrouwelijke gegevens over buitengerechtelijke afdoening kunnen worden bewaard voor administratieve, controle- en onderzoeksdoeleinden, mogen ze niet worden beschouwd als strafrechtelijke veroordelingen of leiden ze niet tot een strafblad.</w:t>
      </w:r>
    </w:p>
    <w:p w14:paraId="6F607A4C" w14:textId="5D8EDC94" w:rsidR="004E782F" w:rsidRPr="000435F2" w:rsidRDefault="00FF3D06" w:rsidP="00FF3D06">
      <w:pPr>
        <w:pStyle w:val="H23G"/>
      </w:pPr>
      <w:r>
        <w:tab/>
        <w:tab/>
      </w:r>
      <w:r>
        <w:t xml:space="preserve">Maatregelen in het kader van gerechtelijke procedures (terbeschikkingstelling)</w:t>
      </w:r>
    </w:p>
    <w:p w14:paraId="63409930" w14:textId="48328343" w:rsidR="004E782F" w:rsidRPr="000435F2" w:rsidRDefault="00FF3D06" w:rsidP="00FF3D06">
      <w:pPr>
        <w:pStyle w:val="SingleTxtG"/>
      </w:pPr>
      <w:r>
        <w:t xml:space="preserve">19.</w:t>
      </w:r>
      <w:r>
        <w:tab/>
      </w:r>
      <w:r>
        <w:t xml:space="preserve">Wanneer de bevoegde autoriteit een gerechtelijke procedure instelt, zijn de beginselen van een eerlijk en rechtvaardig proces van toepassing (zie deel D hieronder).</w:t>
      </w:r>
      <w:r>
        <w:t xml:space="preserve"> </w:t>
      </w:r>
      <w:r>
        <w:t xml:space="preserve">Het kinderrechtsstelsel dient ruime mogelijkheden te bieden om sociale en educatieve maatregelen toe te passen en om het gebruik van vrijheidsberoving vanaf het moment van arrestatie, tijdens de gehele procedure en bij de veroordeling strikt te beperken.</w:t>
      </w:r>
      <w:r>
        <w:t xml:space="preserve"> </w:t>
      </w:r>
      <w:r>
        <w:t xml:space="preserve">De Staten die partij zijn, dienen een reclasseringsdienst of een soortgelijke dienst met goed opgeleid personeel te hebben om te zorgen voor een maximaal en doeltreffend gebruik van maatregelen zoals bevelen tot begeleiding en toezicht, proeftijd, gemeenschapsmonitoring of dagelijkse meldpunten en de mogelijkheid van vervroegde invrijheidstelling uit de detentie.</w:t>
      </w:r>
    </w:p>
    <w:p w14:paraId="32FEBAD3" w14:textId="5ADE3E13" w:rsidR="004E782F" w:rsidRPr="000435F2" w:rsidRDefault="004E782F" w:rsidP="004E782F">
      <w:pPr>
        <w:pStyle w:val="H1G"/>
      </w:pPr>
      <w:r>
        <w:tab/>
      </w:r>
      <w:r>
        <w:t xml:space="preserve">C. </w:t>
        <w:tab/>
        <w:t xml:space="preserve">Leeftijd en kinderrechtsstelsels</w:t>
      </w:r>
    </w:p>
    <w:p w14:paraId="71520518" w14:textId="54E27A21" w:rsidR="004E782F" w:rsidRPr="000435F2" w:rsidRDefault="004E782F" w:rsidP="004E782F">
      <w:pPr>
        <w:pStyle w:val="H23G"/>
        <w:rPr>
          <w:bCs/>
        </w:rPr>
      </w:pPr>
      <w:r>
        <w:tab/>
        <w:tab/>
      </w:r>
      <w:r>
        <w:t xml:space="preserve">Minimumleeftijd voor strafrechtelijke aansprakelijkheid</w:t>
      </w:r>
    </w:p>
    <w:p w14:paraId="729A5EC1" w14:textId="4259A14D" w:rsidR="004E782F" w:rsidRPr="0093670D" w:rsidRDefault="00FF3D06" w:rsidP="00FF3D06">
      <w:pPr>
        <w:pStyle w:val="SingleTxtG"/>
      </w:pPr>
      <w:r>
        <w:t xml:space="preserve">20.</w:t>
      </w:r>
      <w:r>
        <w:tab/>
      </w:r>
      <w:r>
        <w:t xml:space="preserve">Kinderen die op het moment van het plegen van een strafbaar feit jonger zijn dan de minimumleeftijd voor strafrechtelijke aansprakelijkheid, kunnen niet aansprakelijk worden gesteld in strafrechtelijke procedures.</w:t>
      </w:r>
      <w:r>
        <w:t xml:space="preserve"> </w:t>
      </w:r>
      <w:r>
        <w:t xml:space="preserve">Kinderen die ten tijde van het plegen van een strafbaar feit de minimumleeftijd hebben bereikt, maar jonger zijn dan 18 jaar, kunnen formeel in staat van beschuldiging worden gesteld en worden onderworpen aan kinderrechtprocedures, met volledige inachtneming van het Verdrag.</w:t>
      </w:r>
      <w:r>
        <w:t xml:space="preserve"> </w:t>
      </w:r>
      <w:r>
        <w:t xml:space="preserve">Het Comité herinnert de Staten die partij zijn eraan dat de relevante leeftijd de leeftijd is ten tijde van het plegen van de overtreding.</w:t>
      </w:r>
    </w:p>
    <w:p w14:paraId="273207D4" w14:textId="79777C2C" w:rsidR="004E782F" w:rsidRPr="000435F2" w:rsidRDefault="00FF3D06" w:rsidP="00FF3D06">
      <w:pPr>
        <w:pStyle w:val="SingleTxtG"/>
      </w:pPr>
      <w:r>
        <w:t xml:space="preserve">21.</w:t>
      </w:r>
      <w:r>
        <w:tab/>
      </w:r>
      <w:r>
        <w:t xml:space="preserve">Op grond van artikel 40 (3) van het Verdrag zijn de Staten die partij zijn verplicht een minimumleeftijd voor strafrechtelijke aansprakelijkheid vast te stellen, maar in dit artikel wordt de leeftijd niet gespecificeerd.</w:t>
      </w:r>
      <w:r>
        <w:t xml:space="preserve"> </w:t>
      </w:r>
      <w:r>
        <w:t xml:space="preserve">Meer dan 50 Staten die partij zijn, hebben de minimumleeftijd verhoogd na de ratificatie van het Verdrag, en de meest voorkomende minimumleeftijd voor strafrechtelijke aansprakelijkheid op internationaal niveau is 14 jaar.</w:t>
      </w:r>
      <w:r>
        <w:t xml:space="preserve"> </w:t>
      </w:r>
      <w:r>
        <w:t xml:space="preserve">Niettemin blijkt uit verslagen van de Staten die partij zijn, dat sommige Staten een onaanvaardbaar lage minimumleeftijd voor strafrechtelijke aansprakelijkheid handhaven.</w:t>
      </w:r>
    </w:p>
    <w:p w14:paraId="45631147" w14:textId="702C2CA3" w:rsidR="004E782F" w:rsidRDefault="00FF3D06" w:rsidP="00FF3D06">
      <w:pPr>
        <w:pStyle w:val="SingleTxtG"/>
      </w:pPr>
      <w:r>
        <w:t xml:space="preserve">22.</w:t>
      </w:r>
      <w:r>
        <w:tab/>
      </w:r>
      <w:r>
        <w:t xml:space="preserve">Uit gedocumenteerde gegevens op het gebied van de ontwikkeling van kinderen en neurowetenschappen blijkt dat de rijpheid en het vermogen tot abstracte redenering bij kinderen van 12 tot 13 jaar nog steeds evolueert, omdat hun frontale cortex zich nog steeds ontwikkelt.</w:t>
      </w:r>
      <w:r>
        <w:t xml:space="preserve"> </w:t>
      </w:r>
      <w:r>
        <w:t xml:space="preserve">Het is dan ook onwaarschijnlijk dat zij de gevolgen van hun acties of de strafrechtelijke procedures begrijpen.</w:t>
      </w:r>
      <w:r>
        <w:t xml:space="preserve"> </w:t>
      </w:r>
      <w:r>
        <w:t xml:space="preserve">Zij worden ook beïnvloed door hun intrede in de adolescentie.</w:t>
      </w:r>
      <w:r>
        <w:t xml:space="preserve"> </w:t>
      </w:r>
      <w:r>
        <w:t xml:space="preserve">Zoals het Comité in zijn general comment nr. 20 (2016) over de tenuitvoerlegging van de rechten van het kind tijdens de adolescentie opmerkt, is de adolescentie een unieke fase in de menselijke ontwikkeling die wordt gekenmerkt door een snelle ontwikkeling van de hersenen en die van invloed is op het nemen van risico's, het nemen van bepaalde beslissingen en het vermogen om impulsen te beheersen.</w:t>
      </w:r>
      <w:r>
        <w:t xml:space="preserve"> </w:t>
      </w:r>
      <w:r>
        <w:t xml:space="preserve">De Staten die partij zijn, worden aangemoedigd nota te nemen van recente wetenschappelijke bevindingen en hun minimumleeftijd dienovereenkomstig op te trekken tot ten minste 14 jaar.</w:t>
      </w:r>
      <w:r>
        <w:rPr>
          <w:rStyle w:val="Voetnootmarkering"/>
        </w:rPr>
        <w:t xml:space="preserve"> </w:t>
      </w:r>
      <w:r>
        <w:t xml:space="preserve">Bovendien blijkt uit de gegevens van de ontwikkelings- en neurowetenschappen dat de hersenen van adolescenten ook na de tienerjaren nog steeds volwassen worden, wat van invloed is op bepaalde vormen van besluitvorming.</w:t>
      </w:r>
      <w:r>
        <w:t xml:space="preserve"> </w:t>
      </w:r>
      <w:r>
        <w:t xml:space="preserve">Het Comité prijst daarom de Staten die partij zijn die een hogere minimumleeftijd hanteren, bijvoorbeeld 15 of 16 jaar, en dringt er bij de Staten die partij zijn op aan om de minimumleeftijd voor strafrechtelijke aansprakelijkheid overeenkomstig artikel 41 van het Verdrag onder geen beding te verlagen.</w:t>
      </w:r>
      <w:r>
        <w:t xml:space="preserve"> </w:t>
      </w:r>
    </w:p>
    <w:p w14:paraId="049AB2A7" w14:textId="6C6B1E0B" w:rsidR="004E782F" w:rsidRPr="00512FB9" w:rsidRDefault="00FF3D06" w:rsidP="00FF3D06">
      <w:pPr>
        <w:pStyle w:val="SingleTxtG"/>
      </w:pPr>
      <w:r>
        <w:t xml:space="preserve">23.</w:t>
      </w:r>
      <w:r>
        <w:tab/>
      </w:r>
      <w:r>
        <w:t xml:space="preserve">Het Comité erkent dat de vaststelling van een minimumleeftijd voor strafrechtelijke aansprakelijkheid op een redelijk hoog niveau weliswaar belangrijk is, maar dat een doeltreffende aanpak ook afhangt van de manier waarop elke Staat omgaat met kinderen boven en onder die leeftijd.</w:t>
      </w:r>
      <w:r>
        <w:t xml:space="preserve"> </w:t>
      </w:r>
      <w:r>
        <w:t xml:space="preserve">Het Comité zal dit in het kader van de beoordeling van de verslagen van de Staten die partij zijn, grondig blijven onderzoeken.</w:t>
      </w:r>
      <w:r>
        <w:t xml:space="preserve"> </w:t>
      </w:r>
      <w:r>
        <w:t xml:space="preserve">Kinderen jonger dan de minimumleeftijd voor strafrechtelijke aansprakelijkheid dienen door de bevoegde autoriteiten naar gelang van hun behoeften hulp en diensten te krijgen van de bevoegde autoriteiten en mogen niet worden beschouwd als kinderen die strafbare feiten hebben gepleegd.</w:t>
      </w:r>
    </w:p>
    <w:p w14:paraId="3DC46CB0" w14:textId="2FE17997" w:rsidR="004E782F" w:rsidRDefault="00FF3D06" w:rsidP="00FF3D06">
      <w:pPr>
        <w:pStyle w:val="SingleTxtG"/>
      </w:pPr>
      <w:r>
        <w:t xml:space="preserve">24.</w:t>
      </w:r>
      <w:r>
        <w:tab/>
      </w:r>
      <w:r>
        <w:t xml:space="preserve">Als er geen bewijs van leeftijd is en niet kan worden vastgesteld dat het kind onder of boven de minimumleeftijd voor strafrechtelijke aansprakelijkheid ligt, dient het kind het voordeel van de twijfel te krijgen en mag het niet strafrechtelijk aansprakelijk worden gesteld.</w:t>
      </w:r>
    </w:p>
    <w:p w14:paraId="338A625F" w14:textId="4E70626A" w:rsidR="004E782F" w:rsidRPr="00512FB9" w:rsidRDefault="004E782F" w:rsidP="004E782F">
      <w:pPr>
        <w:pStyle w:val="H23G"/>
      </w:pPr>
      <w:r>
        <w:tab/>
        <w:tab/>
      </w:r>
      <w:r>
        <w:t xml:space="preserve">Systemen met uitzonderingen op de minimumleeftijd</w:t>
      </w:r>
    </w:p>
    <w:p w14:paraId="5BE55BD6" w14:textId="7AB49A3F" w:rsidR="001E796A" w:rsidRDefault="00FF3D06" w:rsidP="00FF3D06">
      <w:pPr>
        <w:pStyle w:val="SingleTxtG"/>
      </w:pPr>
      <w:r>
        <w:t xml:space="preserve">25.</w:t>
      </w:r>
      <w:r>
        <w:tab/>
      </w:r>
      <w:r>
        <w:t xml:space="preserve">Het Comité maakt zich zorgen over praktijken die uitzonderingen toestaan op het gebruik van een lagere minimumleeftijd voor strafrechtelijke aansprakelijkheid in gevallen waarin het kind bijvoorbeeld wordt beschuldigd van het plegen van een ernstig vergrijp.</w:t>
      </w:r>
      <w:r>
        <w:t xml:space="preserve"> </w:t>
      </w:r>
      <w:r>
        <w:t xml:space="preserve">Zulke praktijken worden meestal in het leven geroepen om te reageren op publieke druk en zijn niet gebaseerd op een rationeel begrip van de ontwikkeling van kinderen.</w:t>
      </w:r>
      <w:r>
        <w:rPr>
          <w:rStyle w:val="Voetnootmarkering"/>
        </w:rPr>
        <w:t xml:space="preserve"> </w:t>
      </w:r>
      <w:r>
        <w:t xml:space="preserve">Het Comité raadt de Staten die partij zijn met klem aan dergelijke benaderingen af te schaffen en één uniforme leeftijd vast te stellen waaronder kinderen niet zonder uitzondering strafrechtelijk aansprakelijk kunnen worden gesteld.</w:t>
      </w:r>
    </w:p>
    <w:p w14:paraId="393C7F31" w14:textId="37225646" w:rsidR="005F30F3" w:rsidRPr="001E796A" w:rsidRDefault="00702C9E" w:rsidP="00702C9E">
      <w:pPr>
        <w:pStyle w:val="H23G"/>
      </w:pPr>
      <w:r>
        <w:tab/>
        <w:tab/>
      </w:r>
      <w:r>
        <w:t xml:space="preserve">Systemen met twee minimumleeftijden</w:t>
      </w:r>
    </w:p>
    <w:p w14:paraId="37BACF70" w14:textId="5B7C0F84" w:rsidR="004E782F" w:rsidRDefault="00FF3D06" w:rsidP="00FF3D06">
      <w:pPr>
        <w:pStyle w:val="SingleTxtG"/>
      </w:pPr>
      <w:r>
        <w:t xml:space="preserve">26.</w:t>
      </w:r>
      <w:r>
        <w:tab/>
      </w:r>
      <w:r>
        <w:t xml:space="preserve">Verscheidene Staten die partij zijn, passen twee minimumleeftijden voor strafrechtelijke aansprakelijkheid toe (bijvoorbeeld 7 en 14 jaar), met het uitgangspunt dat een kind dat op of boven de lagere leeftijd maar onder de hogere leeftijd is, niet strafrechtelijk aansprakelijk kan worden gesteld, tenzij voldoende rijpheid wordt aangetoond.</w:t>
      </w:r>
      <w:r>
        <w:t xml:space="preserve"> </w:t>
      </w:r>
      <w:r>
        <w:t xml:space="preserve">Dit is oorspronkelijk bedacht als een beschermingssysteem, maar in de praktijk is het niet bewezen.</w:t>
      </w:r>
      <w:r>
        <w:t xml:space="preserve"> </w:t>
      </w:r>
      <w:r>
        <w:t xml:space="preserve">Hoewel er enige steun bestaat voor het idee van een geïndividualiseerde beoordeling van de strafrechtelijke aansprakelijkheid,</w:t>
      </w:r>
      <w:r>
        <w:rPr>
          <w:rStyle w:val="Voetnootmarkering"/>
        </w:rPr>
        <w:t xml:space="preserve"> </w:t>
      </w:r>
      <w:r>
        <w:t xml:space="preserve">heeft het Comité geconstateerd dat dit veel aan het oordeel van de rechter overlaat en tot discriminerende praktijken leidt.</w:t>
      </w:r>
      <w:r>
        <w:t xml:space="preserve"> </w:t>
      </w:r>
    </w:p>
    <w:p w14:paraId="14B4DBF9" w14:textId="3AFC58FF" w:rsidR="004E782F" w:rsidRPr="00707508" w:rsidRDefault="00FF3D06" w:rsidP="00FF3D06">
      <w:pPr>
        <w:pStyle w:val="SingleTxtG"/>
      </w:pPr>
      <w:r>
        <w:t xml:space="preserve">27.</w:t>
      </w:r>
      <w:r>
        <w:tab/>
      </w:r>
      <w:r>
        <w:t xml:space="preserve">De Staten worden aangespoord om één passende minimumleeftijd vast te stellen en ervoor te zorgen, dat een dergelijke wettelijke hervorming niet leidt tot een terugval in de minimumleeftijd voor strafrechtelijke aansprakelijkheid.</w:t>
      </w:r>
      <w:r>
        <w:t xml:space="preserve"> </w:t>
      </w:r>
    </w:p>
    <w:p w14:paraId="7967A297" w14:textId="416C2547" w:rsidR="004E782F" w:rsidRPr="00512FB9" w:rsidRDefault="00702C9E" w:rsidP="00702C9E">
      <w:pPr>
        <w:pStyle w:val="H23G"/>
      </w:pPr>
      <w:r>
        <w:tab/>
        <w:tab/>
      </w:r>
      <w:r>
        <w:t xml:space="preserve">Kinderen die niet strafrechtelijk aansprakelijk zijn om redenen die verband houden met ontwikkelingsachterstanden of neurologische ontwikkelingsstoornissen of handicaps</w:t>
      </w:r>
    </w:p>
    <w:p w14:paraId="17D57178" w14:textId="3F0AEA7A" w:rsidR="004E782F" w:rsidRDefault="00FF3D06" w:rsidP="00FF3D06">
      <w:pPr>
        <w:pStyle w:val="SingleTxtG"/>
      </w:pPr>
      <w:r>
        <w:t xml:space="preserve">28.</w:t>
      </w:r>
      <w:r>
        <w:tab/>
      </w:r>
      <w:r>
        <w:t xml:space="preserve">Kinderen met een ontwikkelingsachterstand, neurologische ontwikkelingsstoornissen of handicaps (bijvoorbeeld autismespectrumstoornissen,  foetaal-alcoholspectrumstoornissen of niet-aangeboren hersenletsel) dienen helemaal niet in het kinderrechtsysteem te worden opgenomen, zelfs als ze de minimumleeftijd voor strafrechtelijke verantwoordelijkheid hebben bereikt.</w:t>
      </w:r>
      <w:r>
        <w:t xml:space="preserve"> </w:t>
      </w:r>
      <w:r>
        <w:t xml:space="preserve">Indien zij niet automatisch uitgesloten worden, dienen deze kinderen individueel te worden beoordeeld.</w:t>
      </w:r>
    </w:p>
    <w:p w14:paraId="7EF7AAFA" w14:textId="20D23240" w:rsidR="004E782F" w:rsidRPr="000435F2" w:rsidRDefault="004E782F" w:rsidP="004E782F">
      <w:pPr>
        <w:pStyle w:val="H23G"/>
      </w:pPr>
      <w:r>
        <w:tab/>
        <w:tab/>
        <w:tab/>
      </w:r>
      <w:r>
        <w:t xml:space="preserve">Toepassing van het kinderrechtsstelsel</w:t>
      </w:r>
      <w:r>
        <w:t xml:space="preserve"> </w:t>
      </w:r>
    </w:p>
    <w:p w14:paraId="7E672FA7" w14:textId="14C6006A" w:rsidR="004E782F" w:rsidRPr="000435F2" w:rsidRDefault="00FF3D06" w:rsidP="00FF3D06">
      <w:pPr>
        <w:pStyle w:val="SingleTxtG"/>
      </w:pPr>
      <w:r>
        <w:t xml:space="preserve">29.</w:t>
      </w:r>
      <w:r>
        <w:tab/>
      </w:r>
      <w:r>
        <w:t xml:space="preserve">Het kinderrechtsstelsel dient van toepassing te zijn op alle kinderen boven de minimumleeftijd voor strafrechtelijke aansprakelijkheid, maar onder de leeftijd van 18 jaar op het moment van het plegen van de overtreding.</w:t>
      </w:r>
      <w:r>
        <w:t xml:space="preserve"> </w:t>
      </w:r>
    </w:p>
    <w:p w14:paraId="579C1D2A" w14:textId="67C9C5BE" w:rsidR="004E782F" w:rsidRPr="004E782F" w:rsidRDefault="00FF3D06" w:rsidP="00FF3D06">
      <w:pPr>
        <w:pStyle w:val="SingleTxtG"/>
      </w:pPr>
      <w:r>
        <w:t xml:space="preserve">30.</w:t>
      </w:r>
      <w:r>
        <w:tab/>
      </w:r>
      <w:r>
        <w:t xml:space="preserve">Het Comité beveelt aan dat de Staten die partij zijn die de toepasbaarheid van hun kinderrechtsstelsel beperken tot kinderen jonger dan 16 jaar (of jonger), of die bij wijze van uitzondering toestaan dat bepaalde kinderen als volwassen delinquenten worden behandeld (bijvoorbeeld vanwege het soort strafbare feiten), hun wetgeving wijzigen om ervoor te zorgen, dat hun kinderrechtsstelsel op niet-discriminerende wijze volledig wordt toegepast op alle personen jonger dan 18 jaar op het moment van het delict (zie ook het general comment nr. 20, paragraaf</w:t>
      </w:r>
      <w:r>
        <w:t xml:space="preserve"> </w:t>
      </w:r>
      <w:r>
        <w:t xml:space="preserve">88).</w:t>
      </w:r>
      <w:r>
        <w:t xml:space="preserve"> </w:t>
      </w:r>
    </w:p>
    <w:p w14:paraId="1B17CC12" w14:textId="618C0810" w:rsidR="004E782F" w:rsidRPr="000435F2" w:rsidRDefault="00FF3D06" w:rsidP="00FF3D06">
      <w:pPr>
        <w:pStyle w:val="SingleTxtG"/>
      </w:pPr>
      <w:r>
        <w:t xml:space="preserve">31.</w:t>
      </w:r>
      <w:r>
        <w:tab/>
      </w:r>
      <w:r>
        <w:t xml:space="preserve">Ook kinderen die op het moment van het plegen van het misdrijf jonger waren dan 18 jaar, maar die tijdens het proces of straftraject 18 jaar worden, dienen door de kinderrechtsstelsels beschermd te worden.</w:t>
      </w:r>
    </w:p>
    <w:p w14:paraId="7AFC9305" w14:textId="42B40A87" w:rsidR="004E782F" w:rsidRPr="001E796A" w:rsidRDefault="00FF3D06" w:rsidP="00FF3D06">
      <w:pPr>
        <w:pStyle w:val="SingleTxtG"/>
        <w:rPr>
          <w:rStyle w:val="Voetnootmarkering"/>
        </w:rPr>
      </w:pPr>
      <w:r>
        <w:t xml:space="preserve">32.</w:t>
      </w:r>
      <w:r>
        <w:tab/>
      </w:r>
      <w:r>
        <w:t xml:space="preserve">Het Comité prijst de Staten die partij zijn die de toepassing van het kinderrechtsstelsel op personen van 18 jaar en ouder hetzij als algemene regel, hetzij bij wijze van uitzondering toestaan.</w:t>
      </w:r>
      <w:r>
        <w:t xml:space="preserve"> </w:t>
      </w:r>
      <w:r>
        <w:t xml:space="preserve">Deze aanpak is in overeenstemming met het ontwikkelings- en neurowetenschappelijk bewijs dat aantoont dat de hersenontwikkeling doorgaat tot in de vroege jaren twintig.</w:t>
      </w:r>
    </w:p>
    <w:p w14:paraId="46A127C5" w14:textId="77777777" w:rsidR="004E782F" w:rsidRPr="000435F2" w:rsidRDefault="004E782F" w:rsidP="004E782F">
      <w:pPr>
        <w:pStyle w:val="H23G"/>
      </w:pPr>
      <w:r>
        <w:tab/>
        <w:tab/>
      </w:r>
      <w:r>
        <w:t xml:space="preserve">Geboorteakten en leeftijdsbepaling</w:t>
      </w:r>
    </w:p>
    <w:p w14:paraId="2F7F7B45" w14:textId="74315B86" w:rsidR="004E782F" w:rsidRPr="000435F2" w:rsidRDefault="002D64A9" w:rsidP="002D64A9">
      <w:pPr>
        <w:pStyle w:val="SingleTxtG"/>
      </w:pPr>
      <w:r>
        <w:t xml:space="preserve">33.</w:t>
      </w:r>
      <w:r>
        <w:tab/>
      </w:r>
      <w:r>
        <w:t xml:space="preserve">Een kind dat geen geboorteakte heeft, dient deze onmiddellijk en kosteloos van de Staat te ontvangen wanneer het de leeftijd dient aan te tonen.</w:t>
      </w:r>
      <w:r>
        <w:rPr>
          <w:rStyle w:val="Voetnootmarkering"/>
        </w:rPr>
        <w:t xml:space="preserve"> </w:t>
      </w:r>
      <w:r>
        <w:t xml:space="preserve">Als er geen bewijs van leeftijd is door middel van een geboorteakte, dienen de autoriteiten alle documenten te aanvaarden die de leeftijd kunnen aantonen, zoals de kennisgeving van de geboorte, uittreksels uit de geboorteregisters, doop- of gelijkwaardige documenten of schoolrapporten.</w:t>
      </w:r>
      <w:r>
        <w:t xml:space="preserve"> </w:t>
      </w:r>
      <w:r>
        <w:t xml:space="preserve">Documenten dienen als echt worden beschouwd tenzij het tegendeel wordt bewezen.</w:t>
      </w:r>
      <w:r>
        <w:t xml:space="preserve"> </w:t>
      </w:r>
      <w:r>
        <w:t xml:space="preserve">De autoriteiten dienen gesprekken met of verklaringen door ouders betreffende leeftijd toe te staan of bevestigingen toe te staan die worden ingediend door leraren of godsdienstige of gemeenschapsleiders die de leeftijd van het kind kennen.</w:t>
      </w:r>
      <w:r>
        <w:t xml:space="preserve"> </w:t>
      </w:r>
    </w:p>
    <w:p w14:paraId="48A8E394" w14:textId="4579DC36" w:rsidR="004E782F" w:rsidRPr="000435F2" w:rsidRDefault="002D64A9" w:rsidP="002D64A9">
      <w:pPr>
        <w:pStyle w:val="SingleTxtG"/>
      </w:pPr>
      <w:r>
        <w:t xml:space="preserve">34.</w:t>
      </w:r>
      <w:r>
        <w:tab/>
      </w:r>
      <w:r>
        <w:t xml:space="preserve">Alleen als deze maatregelen niet succesvol blijken te zijn, kan er een beoordeling van de fysieke en psychische ontwikkeling van het kind plaatsvinden, uitgevoerd door gespecialiseerde kinderartsen</w:t>
      </w:r>
      <w:r>
        <w:rPr>
          <w:rStyle w:val="Voetnootmarkering"/>
        </w:rPr>
        <w:t xml:space="preserve"> </w:t>
      </w:r>
      <w:r>
        <w:t xml:space="preserve">of andere professionals die bekwaam zijn in het beoordelen van verschillende aspecten van de ontwikkeling.</w:t>
      </w:r>
      <w:r>
        <w:t xml:space="preserve"> </w:t>
      </w:r>
      <w:r>
        <w:t xml:space="preserve">Dergelijke beoordelingen dienen te worden uitgevoerd op een snelle, kind- en genderbewuste en cultureel passende manier, met inbegrip van gesprekken met kinderen en ouders of verzorgers in een taal die het kind begrijpt.</w:t>
      </w:r>
      <w:r>
        <w:t xml:space="preserve"> </w:t>
      </w:r>
      <w:r>
        <w:t xml:space="preserve">De Staten dienen af te zien van het gebruik van uitsluitend medische methoden die gebaseerd zijn op onder meer bot- en tandheelkundige analyse, die vaak onnauwkeurig is als gevolg van de grote foutmarges en die ook traumatisch kan zijn.</w:t>
      </w:r>
      <w:r>
        <w:t xml:space="preserve"> </w:t>
      </w:r>
      <w:r>
        <w:t xml:space="preserve">De minst ingrijpende beoordelingsmethode dient te worden toegepast.</w:t>
      </w:r>
      <w:r>
        <w:t xml:space="preserve"> </w:t>
      </w:r>
      <w:r>
        <w:t xml:space="preserve">In het geval van niet-sluitend bewijs, dient het kind of de jongere het voordeel van de twijfel te krijgen.</w:t>
      </w:r>
      <w:r>
        <w:t xml:space="preserve"> </w:t>
      </w:r>
    </w:p>
    <w:p w14:paraId="122F729F" w14:textId="6F01DCB4" w:rsidR="004E782F" w:rsidRPr="000435F2" w:rsidRDefault="004E782F" w:rsidP="004E782F">
      <w:pPr>
        <w:pStyle w:val="H23G"/>
      </w:pPr>
      <w:r>
        <w:tab/>
        <w:tab/>
      </w:r>
      <w:r>
        <w:t xml:space="preserve">Voortzetting van de maatregelen op het gebied van kinderrecht</w:t>
      </w:r>
      <w:r>
        <w:t xml:space="preserve"> </w:t>
      </w:r>
    </w:p>
    <w:p w14:paraId="414CE6AC" w14:textId="357CE478" w:rsidR="004E782F" w:rsidRPr="006577DB" w:rsidRDefault="002D64A9" w:rsidP="002D64A9">
      <w:pPr>
        <w:pStyle w:val="SingleTxtG"/>
        <w:rPr>
          <w:rStyle w:val="Voetnootmarkering"/>
        </w:rPr>
      </w:pPr>
      <w:r>
        <w:t xml:space="preserve">35.</w:t>
      </w:r>
      <w:r>
        <w:tab/>
      </w:r>
      <w:r>
        <w:t xml:space="preserve">Het Comité raadt aan dat kinderen die 18 jaar of ouder zijn voordat zij een programma voor buitengerechtelijke afdoening of een niet tot vrijheidsbeneming of een wel tot vrijheidsbeneming strekkende maatregel hebben afgerond, de mogelijkheid krijgen om het programma, de maatregel of de straf af te ronden en niet naar een centrum voor volwassenen worden gestuurd.</w:t>
      </w:r>
      <w:r>
        <w:rPr>
          <w:rStyle w:val="Voetnootmarkering"/>
        </w:rPr>
        <w:t xml:space="preserve"> </w:t>
      </w:r>
    </w:p>
    <w:p w14:paraId="3E3A3511" w14:textId="014DB0D4" w:rsidR="004E782F" w:rsidRPr="0075567E" w:rsidRDefault="004E782F" w:rsidP="0075567E">
      <w:pPr>
        <w:pStyle w:val="H23G"/>
      </w:pPr>
      <w:r>
        <w:tab/>
        <w:tab/>
        <w:tab/>
      </w:r>
      <w:r>
        <w:t xml:space="preserve">Strafbare feiten die voor en na 18 jaar zijn gepleegd en strafbare feiten die met volwassenen zijn gepleegd</w:t>
      </w:r>
    </w:p>
    <w:p w14:paraId="5A12AC2F" w14:textId="1355ABD5" w:rsidR="004E782F" w:rsidRPr="000435F2" w:rsidRDefault="002D64A9" w:rsidP="002D64A9">
      <w:pPr>
        <w:pStyle w:val="SingleTxtG"/>
      </w:pPr>
      <w:r>
        <w:t xml:space="preserve">36.</w:t>
      </w:r>
      <w:r>
        <w:tab/>
      </w:r>
      <w:r>
        <w:t xml:space="preserve">In gevallen waarin een jongere verscheidene strafbare feiten pleegt, waarvan sommige vóór en sommige na de leeftijd van 18 jaar, dienen de Staten die partij zijn te overwegen procedurele regels vast te stellen die het mogelijk maken het kinderrechtsstelsel toe te passen op alle strafbare feiten wanneer daarvoor redelijke gronden bestaan.</w:t>
      </w:r>
    </w:p>
    <w:p w14:paraId="046D0BDD" w14:textId="35E6AA6B" w:rsidR="00DA03D7" w:rsidRPr="00DA03D7" w:rsidRDefault="002D64A9" w:rsidP="002D64A9">
      <w:pPr>
        <w:pStyle w:val="SingleTxtG"/>
      </w:pPr>
      <w:r>
        <w:t xml:space="preserve">37.</w:t>
      </w:r>
      <w:r>
        <w:tab/>
      </w:r>
      <w:r>
        <w:t xml:space="preserve">In gevallen waarin een kind samen met een of meer volwassenen een strafbaar feit pleegt, zijn de regels van het kinderrechtsstelsel van toepassing op het kind, of het nu gezamenlijk of afzonderlijk wordt berecht.</w:t>
      </w:r>
    </w:p>
    <w:p w14:paraId="3CBE2D79" w14:textId="58ADD4DB" w:rsidR="004E782F" w:rsidRPr="000435F2" w:rsidRDefault="004E782F" w:rsidP="004E782F">
      <w:pPr>
        <w:pStyle w:val="H1G"/>
      </w:pPr>
      <w:r>
        <w:tab/>
      </w:r>
      <w:r>
        <w:t xml:space="preserve">D. </w:t>
        <w:tab/>
        <w:t xml:space="preserve">Garanties voor een eerlijk proces</w:t>
      </w:r>
    </w:p>
    <w:p w14:paraId="66E33CAB" w14:textId="061DC909" w:rsidR="004E782F" w:rsidRPr="000435F2" w:rsidRDefault="002D64A9" w:rsidP="002D64A9">
      <w:pPr>
        <w:pStyle w:val="SingleTxtG"/>
      </w:pPr>
      <w:r>
        <w:t xml:space="preserve">38.</w:t>
      </w:r>
      <w:r>
        <w:tab/>
      </w:r>
      <w:r>
        <w:t xml:space="preserve">Artikel 40 (2) van het Verdrag bevat een belangrijke lijst met rechten en waarborgen om ervoor te zorgen, dat elk kind een eerlijke behandeling en een eerlijk proces krijgt (zie ook artikel 14 van het Internationaal Verdrag inzake burgerrechten en politieke rechten).</w:t>
      </w:r>
      <w:r>
        <w:t xml:space="preserve"> </w:t>
      </w:r>
      <w:r>
        <w:t xml:space="preserve">Er dient op gewezen te worden dat dit minimumnormen zijn.</w:t>
      </w:r>
      <w:r>
        <w:t xml:space="preserve"> </w:t>
      </w:r>
      <w:r>
        <w:t xml:space="preserve">Staten die partij zijn, kunnen en dienen te proberen hogere normen vast te stellen en in acht te nemen.</w:t>
      </w:r>
    </w:p>
    <w:p w14:paraId="620839B3" w14:textId="45862D0F" w:rsidR="00037E6A" w:rsidRDefault="00A94455" w:rsidP="002D64A9">
      <w:pPr>
        <w:pStyle w:val="SingleTxtG"/>
      </w:pPr>
      <w:r>
        <w:t xml:space="preserve">39.</w:t>
      </w:r>
      <w:r>
        <w:tab/>
      </w:r>
      <w:r>
        <w:t xml:space="preserve">Het Comité benadrukt dat permanente en systematische opleiding van de professionals in het kinderrechtsstelsel van cruciaal belang is om deze garanties te handhaven.</w:t>
      </w:r>
      <w:r>
        <w:t xml:space="preserve"> </w:t>
      </w:r>
      <w:r>
        <w:t xml:space="preserve">Zulke professionals dienen in staat te zijn om in interdisciplinaire teams te werken en dienen goed geïnformeerd te zijn over de fysieke, psychologische, mentale en sociale ontwikkeling van kinderen en adolescenten, alsook over de speciale behoeften van de meest gemarginaliseerde kinderen.</w:t>
      </w:r>
    </w:p>
    <w:p w14:paraId="603BB894" w14:textId="2CB80F09" w:rsidR="004E782F" w:rsidRPr="00037E6A" w:rsidRDefault="002D64A9" w:rsidP="002D64A9">
      <w:pPr>
        <w:pStyle w:val="SingleTxtG"/>
      </w:pPr>
      <w:r>
        <w:t xml:space="preserve">40.</w:t>
      </w:r>
      <w:r>
        <w:tab/>
      </w:r>
      <w:r>
        <w:t xml:space="preserve">Er zijn waarborgen tegen discriminatie nodig vanaf het eerste contact met het strafrechtelijk systeem en gedurende het hele proces en discriminatie van welke groep kinderen dan ook dient actief te worden bestreden.</w:t>
      </w:r>
      <w:r>
        <w:t xml:space="preserve"> </w:t>
      </w:r>
      <w:r>
        <w:t xml:space="preserve">In het bijzonder dient genderbewuste aandacht te worden besteed aan meisjes en aan kinderen die gediscrimineerd worden op grond van hun seksuele geaardheid of genderidentiteit.</w:t>
      </w:r>
      <w:r>
        <w:t xml:space="preserve"> </w:t>
      </w:r>
      <w:r>
        <w:t xml:space="preserve">Er dient tegemoet gekomen worden aan kinderen met een handicap, waaronder fysieke toegang tot de rechtbank en andere gebouwen, steun voor kinderen met een psychosociale handicap, hulp bij de communicatie en het lezen van documenten en procedurele aanpassingen voor getuigenissen.</w:t>
      </w:r>
      <w:r>
        <w:t xml:space="preserve"> </w:t>
      </w:r>
    </w:p>
    <w:p w14:paraId="6E24DDBB" w14:textId="3368C827" w:rsidR="004E782F" w:rsidRPr="002D64A9" w:rsidRDefault="002D64A9" w:rsidP="002D64A9">
      <w:pPr>
        <w:pStyle w:val="SingleTxtG"/>
      </w:pPr>
      <w:r>
        <w:t xml:space="preserve">41.</w:t>
      </w:r>
      <w:r>
        <w:tab/>
      </w:r>
      <w:r>
        <w:t xml:space="preserve">De Staten die partij zijn, dienen wetgeving vast te stellen en te zorgen voor praktijken die de rechten van het kind beschermen vanaf het moment dat het in contact komt met het systeem, waaronder in het stadia van staandehouding, waarschuwen of arresteren, gedurende de hechtenis bij de politie of andere wetshandhavingsinstanties, tijdens het overbrengen van en naar politiebureaus, detentiecentra en rechtbanken, en tijdens verhoren, fouilleren en het nemen van bewijsmonsters.</w:t>
      </w:r>
      <w:r>
        <w:t xml:space="preserve"> </w:t>
      </w:r>
      <w:r>
        <w:t xml:space="preserve">De locatie en de toestand van het kind dienen in alle fasen en processen worden geregistreerd.</w:t>
      </w:r>
      <w:r>
        <w:t xml:space="preserve"> </w:t>
      </w:r>
    </w:p>
    <w:p w14:paraId="175B3237" w14:textId="59F66FC3" w:rsidR="004E782F" w:rsidRPr="000435F2" w:rsidRDefault="004E782F" w:rsidP="004E782F">
      <w:pPr>
        <w:pStyle w:val="H23G"/>
      </w:pPr>
      <w:r>
        <w:tab/>
        <w:tab/>
      </w:r>
      <w:r>
        <w:t xml:space="preserve">Geen terugwerkende toepassing van kinderrecht (art.</w:t>
      </w:r>
      <w:r>
        <w:t xml:space="preserve"> </w:t>
      </w:r>
      <w:r>
        <w:t xml:space="preserve">40 (2) (a))</w:t>
      </w:r>
    </w:p>
    <w:p w14:paraId="20A23562" w14:textId="0B811F7C" w:rsidR="004E782F" w:rsidRPr="000435F2" w:rsidRDefault="002D64A9" w:rsidP="002D64A9">
      <w:pPr>
        <w:pStyle w:val="SingleTxtG"/>
      </w:pPr>
      <w:r>
        <w:t xml:space="preserve">42.</w:t>
      </w:r>
      <w:r>
        <w:tab/>
      </w:r>
      <w:r>
        <w:t xml:space="preserve">Geen enkel kind mag schuldig worden bevonden aan een strafbaar feit dat naar nationaal of internationaal recht geen strafbaar feit vormde op het moment dat het werd gepleegd.</w:t>
      </w:r>
      <w:r>
        <w:t xml:space="preserve"> </w:t>
      </w:r>
      <w:r>
        <w:t xml:space="preserve">Staten die partij zijn die hun strafrechtelijke bepalingen ter voorkoming en bestrijding van terrorisme uitbreiden, dienen ervoor te zorgen, dat deze wijzigingen niet leiden tot de terugwerkende of onbedoelde bestraffing van kinderen.</w:t>
      </w:r>
      <w:r>
        <w:t xml:space="preserve"> </w:t>
      </w:r>
      <w:r>
        <w:t xml:space="preserve">Geen enkel kind mag worden gestraft met een zwaardere straf dan die welke ten tijde van het strafbare feit van toepassing was, maar als een wetswijziging na het misdrijf in een lichtere straf voorziet, dient het kind er baat bij te hebben.</w:t>
      </w:r>
    </w:p>
    <w:p w14:paraId="09E6BC6F" w14:textId="73A1A0CD" w:rsidR="004E782F" w:rsidRPr="000435F2" w:rsidRDefault="004E782F" w:rsidP="004E782F">
      <w:pPr>
        <w:pStyle w:val="H23G"/>
      </w:pPr>
      <w:r>
        <w:tab/>
        <w:tab/>
      </w:r>
      <w:r>
        <w:t xml:space="preserve">Vermoeden van onschuld (art.</w:t>
      </w:r>
      <w:r>
        <w:t xml:space="preserve"> </w:t>
      </w:r>
      <w:r>
        <w:t xml:space="preserve">40 (2) (b) (i))</w:t>
      </w:r>
    </w:p>
    <w:p w14:paraId="73D79AE7" w14:textId="1AA2C0A0" w:rsidR="004E782F" w:rsidRPr="000435F2" w:rsidRDefault="002D64A9" w:rsidP="002D64A9">
      <w:pPr>
        <w:pStyle w:val="SingleTxtG"/>
      </w:pPr>
      <w:r>
        <w:t xml:space="preserve">43.</w:t>
      </w:r>
      <w:r>
        <w:tab/>
      </w:r>
      <w:r>
        <w:t xml:space="preserve">Het vermoeden van onschuld vereist dat de bewijslast voor de tenlastelegging bij de aanklager ligt, ongeacht de aard van het strafbare feit.</w:t>
      </w:r>
      <w:r>
        <w:t xml:space="preserve"> </w:t>
      </w:r>
      <w:r>
        <w:t xml:space="preserve">Het kind heeft het voordeel van de twijfel en is alleen schuldig als de aanklacht boven redelijke twijfel bewezen is.</w:t>
      </w:r>
      <w:r>
        <w:t xml:space="preserve"> </w:t>
      </w:r>
      <w:r>
        <w:t xml:space="preserve">Verdacht gedrag van het kind mag niet leiden tot veronderstellingen over aanname van schuld, aangezien dit te wijten kan zijn aan een gebrek aan begrip van het proces, onrijpheid, angst of andere redenen.</w:t>
      </w:r>
    </w:p>
    <w:p w14:paraId="315E930B" w14:textId="70C4802E" w:rsidR="004E782F" w:rsidRPr="000435F2" w:rsidRDefault="004E782F" w:rsidP="004E782F">
      <w:pPr>
        <w:pStyle w:val="H23G"/>
      </w:pPr>
      <w:r>
        <w:tab/>
        <w:tab/>
      </w:r>
      <w:r>
        <w:t xml:space="preserve">Recht om gehoord te worden (art.</w:t>
      </w:r>
      <w:r>
        <w:t xml:space="preserve"> </w:t>
      </w:r>
      <w:r>
        <w:t xml:space="preserve">12)</w:t>
      </w:r>
    </w:p>
    <w:p w14:paraId="143BE20B" w14:textId="3F8521A3" w:rsidR="004E782F" w:rsidRPr="000435F2" w:rsidRDefault="002D64A9" w:rsidP="002D64A9">
      <w:pPr>
        <w:pStyle w:val="SingleTxtG"/>
      </w:pPr>
      <w:r>
        <w:t xml:space="preserve">44.</w:t>
      </w:r>
      <w:r>
        <w:tab/>
      </w:r>
      <w:r>
        <w:t xml:space="preserve">In de punten 57 tot en met 64 van het general comment nr. 12 (2009) over het recht van het kind om te worden gehoord, heeft het Comité het fundamentele recht van het kind om te worden gehoord in het kader van het kinderrecht toegelicht.</w:t>
      </w:r>
    </w:p>
    <w:p w14:paraId="585B79B1" w14:textId="083553FA" w:rsidR="004E782F" w:rsidRPr="000435F2" w:rsidRDefault="00A94455" w:rsidP="002D64A9">
      <w:pPr>
        <w:pStyle w:val="SingleTxtG"/>
      </w:pPr>
      <w:r>
        <w:t xml:space="preserve">45.</w:t>
      </w:r>
      <w:r>
        <w:tab/>
      </w:r>
      <w:r>
        <w:t xml:space="preserve">Kinderen hebben het recht om direct gehoord te worden en niet alleen via een vertegenwoordiger, in alle stadia van het proces, vanaf het moment van contact.</w:t>
      </w:r>
      <w:r>
        <w:t xml:space="preserve"> </w:t>
      </w:r>
      <w:r>
        <w:t xml:space="preserve">Het kind heeft het recht om te zwijgen en er mogen geen nadelige gevolgtrekkingen worden gemaakt wanneer kinderen ervoor kiezen om geen verklaring af te leggen.</w:t>
      </w:r>
      <w:r>
        <w:t xml:space="preserve"> </w:t>
      </w:r>
    </w:p>
    <w:p w14:paraId="48584FE5" w14:textId="56E3B8DD" w:rsidR="004E782F" w:rsidRPr="000435F2" w:rsidRDefault="004E782F" w:rsidP="00702C9E">
      <w:pPr>
        <w:pStyle w:val="H23G"/>
      </w:pPr>
      <w:r>
        <w:tab/>
        <w:tab/>
        <w:tab/>
      </w:r>
      <w:r>
        <w:t xml:space="preserve">Daadwerkelijke deelname aan de procedure (art.</w:t>
      </w:r>
      <w:r>
        <w:t xml:space="preserve"> </w:t>
      </w:r>
      <w:r>
        <w:t xml:space="preserve">40 (2) (b) (iv))</w:t>
      </w:r>
    </w:p>
    <w:p w14:paraId="7EFDE0CD" w14:textId="7BC2B29A" w:rsidR="004E782F" w:rsidRPr="000435F2" w:rsidRDefault="002D64A9" w:rsidP="002D64A9">
      <w:pPr>
        <w:pStyle w:val="SingleTxtG"/>
      </w:pPr>
      <w:r>
        <w:t xml:space="preserve">46.</w:t>
      </w:r>
      <w:r>
        <w:tab/>
      </w:r>
      <w:r>
        <w:t xml:space="preserve">Een kind dat ouder is dan de minimumleeftijd voor strafrechtelijke aansprakelijkheid dient als bevoegd te worden beschouwd om deel te nemen gedurende de gehele kinderrechtprocedure.</w:t>
      </w:r>
      <w:r>
        <w:t xml:space="preserve"> </w:t>
      </w:r>
      <w:r>
        <w:t xml:space="preserve">Om doeltreffend te kunnen deelnemen, dient een kind door alle beoefenaars van juridische beroepen te worden ondersteund om de beschuldigingen en de mogelijke gevolgen en opties te begrijpen, zodat de wettelijke vertegenwoordiger kan worden geïnstrueerd, getuigen kunnen worden gewraakt, verslag kan worden gedaan van de gebeurtenissen en passende beslissingen kunnen worden genomen over bewijsmateriaal, getuigenissen en de op te leggen maatregel(en).</w:t>
      </w:r>
      <w:r>
        <w:t xml:space="preserve"> </w:t>
      </w:r>
      <w:r>
        <w:t xml:space="preserve">De procedure dient te worden gevoerd in een taal die het kind volledig begrijpt of er dient kosteloos een tolk ter beschikking te worden gesteld.</w:t>
      </w:r>
      <w:r>
        <w:t xml:space="preserve"> </w:t>
      </w:r>
      <w:r>
        <w:t xml:space="preserve">De procedures dienen te worden uitgevoerd in een sfeer van begrip, zodat de kinderen ten volle kunnen deelnemen.</w:t>
      </w:r>
      <w:r>
        <w:t xml:space="preserve"> </w:t>
      </w:r>
      <w:r>
        <w:t xml:space="preserve">De ontwikkelingen op het gebied van kindvriendelijke rechtspraak geven een impuls aan de ontwikkeling van kindvriendelijke taal in alle stadia, kindvriendelijke inrichting van interviewruimtes en rechtbanken, ondersteuning door geschikte volwassenen, afschaffing van intimiderende kledij in de rechtbank en aanpassing van de procedures, met</w:t>
      </w:r>
      <w:r>
        <w:rPr>
          <w:rStyle w:val="Voetnootmarkering"/>
        </w:rPr>
        <w:t xml:space="preserve"> </w:t>
      </w:r>
      <w:r>
        <w:t xml:space="preserve">inbegrip van tegemoetkoming aan kinderen met een beperking.</w:t>
      </w:r>
      <w:r>
        <w:t xml:space="preserve"> </w:t>
      </w:r>
    </w:p>
    <w:p w14:paraId="6CA605CA" w14:textId="444F4583" w:rsidR="004E782F" w:rsidRPr="000435F2" w:rsidRDefault="004E782F" w:rsidP="004E782F">
      <w:pPr>
        <w:pStyle w:val="H23G"/>
      </w:pPr>
      <w:r>
        <w:tab/>
        <w:tab/>
      </w:r>
      <w:r>
        <w:t xml:space="preserve">Snelle en directe informatie over de tenlastelegging(en) (art.</w:t>
      </w:r>
      <w:r>
        <w:t xml:space="preserve"> </w:t>
      </w:r>
      <w:r>
        <w:t xml:space="preserve">40 (2) (b) (ii))</w:t>
      </w:r>
    </w:p>
    <w:p w14:paraId="3839172F" w14:textId="0856B62D" w:rsidR="004E782F" w:rsidRPr="000435F2" w:rsidRDefault="002D64A9" w:rsidP="002D64A9">
      <w:pPr>
        <w:pStyle w:val="SingleTxtG"/>
      </w:pPr>
      <w:r>
        <w:t xml:space="preserve">47.</w:t>
      </w:r>
      <w:r>
        <w:tab/>
      </w:r>
      <w:r>
        <w:t xml:space="preserve">Elk kind heeft het recht om onmiddellijk en rechtstreeks (of in voorkomend geval via zijn of haar ouder of voogd) op de hoogte te worden gesteld van de tegen hem of haar ingebrachte beschuldigingen.</w:t>
      </w:r>
      <w:r>
        <w:t xml:space="preserve"> </w:t>
      </w:r>
      <w:r>
        <w:t xml:space="preserve">Onmiddellijk betekent zo snel mogelijk na het eerste contact van het kind met het rechtssysteem.</w:t>
      </w:r>
      <w:r>
        <w:t xml:space="preserve"> </w:t>
      </w:r>
      <w:r>
        <w:t xml:space="preserve">De kennisgeving aan de ouders mag niet worden verwaarloosd om redenen van gemak of middelen.</w:t>
      </w:r>
      <w:r>
        <w:t xml:space="preserve"> </w:t>
      </w:r>
      <w:r>
        <w:t xml:space="preserve">Kinderen die tijdens de tenlastelegging in de buitengerechtelijke afdoening worden geplaatst, dienen hun juridische mogelijkheden te begrijpen en de juridische waarborgen dienen volledig te worden gerespecteerd.</w:t>
      </w:r>
      <w:r>
        <w:t xml:space="preserve"> </w:t>
      </w:r>
    </w:p>
    <w:p w14:paraId="018ADD9E" w14:textId="10B36F26" w:rsidR="00B825D1" w:rsidRDefault="002D64A9" w:rsidP="002D64A9">
      <w:pPr>
        <w:pStyle w:val="SingleTxtG"/>
      </w:pPr>
      <w:r>
        <w:t xml:space="preserve">48.</w:t>
      </w:r>
      <w:r>
        <w:tab/>
      </w:r>
      <w:r>
        <w:t xml:space="preserve">De autoriteiten dienen ervoor te zorgen, dat het kind de aanklachten, opties en processen begrijpt.</w:t>
      </w:r>
      <w:r>
        <w:t xml:space="preserve"> </w:t>
      </w:r>
      <w:r>
        <w:t xml:space="preserve">Het is niet voldoende een officieel document te verstrekken aan het kind en een mondelinge toelichting is noodzakelijk.</w:t>
      </w:r>
      <w:r>
        <w:t xml:space="preserve"> </w:t>
      </w:r>
      <w:r>
        <w:t xml:space="preserve">Hoewel kinderen dienen te worden geholpen bij het begrijpen van een document door een ouder of een geschikte volwassene, mogen de autoriteiten de uitleg van de aanklacht niet aan deze personen overlaten.</w:t>
      </w:r>
      <w:r>
        <w:t xml:space="preserve"> </w:t>
      </w:r>
    </w:p>
    <w:p w14:paraId="013B4935" w14:textId="2A71672A" w:rsidR="004E782F" w:rsidRPr="008B6BC1" w:rsidRDefault="00702C9E" w:rsidP="00682DBE">
      <w:pPr>
        <w:pStyle w:val="H23G"/>
      </w:pPr>
      <w:r>
        <w:tab/>
        <w:tab/>
      </w:r>
      <w:r>
        <w:t xml:space="preserve">Juridische of andere passende hulp (art.</w:t>
      </w:r>
      <w:r>
        <w:t xml:space="preserve"> </w:t>
      </w:r>
      <w:r>
        <w:t xml:space="preserve">40 (2) (b) (ii))</w:t>
      </w:r>
    </w:p>
    <w:p w14:paraId="5A7435A4" w14:textId="4998AC59" w:rsidR="004E782F" w:rsidRPr="002D64A9" w:rsidRDefault="00A94455" w:rsidP="00682DBE">
      <w:pPr>
        <w:pStyle w:val="SingleTxtG"/>
        <w:keepNext/>
        <w:keepLines/>
      </w:pPr>
      <w:r>
        <w:t xml:space="preserve">49.</w:t>
      </w:r>
      <w:r>
        <w:tab/>
      </w:r>
      <w:r>
        <w:t xml:space="preserve">De Staten dienen ervoor te zorgen, dat het kind vanaf het begin van de procedure, bij de voorbereiding en het indienen van de verdediging en totdat alle beroeps- en/of herzieningsprocedures zijn uitgeput, juridische of andere passende bijstand wordt gegarandeerd.</w:t>
      </w:r>
      <w:r>
        <w:t xml:space="preserve"> </w:t>
      </w:r>
      <w:r>
        <w:t xml:space="preserve">Het Comité verzoekt de Staten die partij zijn om elk voorbehoud ten aanzien van artikel 40 (2) (b) (ii), in te trekken.</w:t>
      </w:r>
    </w:p>
    <w:p w14:paraId="373AC80B" w14:textId="30759FC1" w:rsidR="004E782F" w:rsidRPr="002D64A9" w:rsidRDefault="00A94455" w:rsidP="002D64A9">
      <w:pPr>
        <w:pStyle w:val="SingleTxtG"/>
      </w:pPr>
      <w:r>
        <w:t xml:space="preserve">50.</w:t>
      </w:r>
      <w:r>
        <w:tab/>
      </w:r>
      <w:r>
        <w:t xml:space="preserve">Het Comité blijft zich zorgen maken over het feit dat veel kinderen strafrechtelijk vervolgd worden voor gerechtelijke, administratieve of andere overheidsinstanties en van hun vrijheid worden beroofd, zonder dat zij het voordeel hebben van juridische vertegenwoordiging.</w:t>
      </w:r>
      <w:r>
        <w:t xml:space="preserve"> </w:t>
      </w:r>
      <w:r>
        <w:t xml:space="preserve">Het Comité merkt op dat in artikel 14 (3) (d) van het Internationaal Verdrag inzake burgerrechten en politieke rechten het recht op juridische vertegenwoordiging in het strafrechtelijk systeem een minimumgarantie is voor alle personen en dat dit ook voor kinderen dient te gelden.</w:t>
      </w:r>
      <w:r>
        <w:t xml:space="preserve"> </w:t>
      </w:r>
      <w:r>
        <w:t xml:space="preserve">Hoewel het artikel de betrokkene toestaat zich persoonlijk te verdedigen, dient in ieder geval wanneer het belang van de rechtspleging dit vereist de betrokkene rechtsbijstand te worden verleend.</w:t>
      </w:r>
      <w:r>
        <w:t xml:space="preserve"> </w:t>
      </w:r>
    </w:p>
    <w:p w14:paraId="65192FC7" w14:textId="7D2B3208" w:rsidR="004E782F" w:rsidRPr="000435F2" w:rsidRDefault="002D64A9" w:rsidP="002D64A9">
      <w:pPr>
        <w:pStyle w:val="SingleTxtG"/>
      </w:pPr>
      <w:r>
        <w:t xml:space="preserve">51.</w:t>
      </w:r>
      <w:r>
        <w:tab/>
      </w:r>
      <w:r>
        <w:t xml:space="preserve">In het licht van het bovenstaande vreest het Comité dat kinderen minder bescherming krijgen dan volwassenen op grond van het internationale recht genieten.</w:t>
      </w:r>
      <w:r>
        <w:t xml:space="preserve"> </w:t>
      </w:r>
      <w:r>
        <w:t xml:space="preserve">Het Comité adviseert de Staten die partij zijn alle kinderen die strafrechtelijk worden vervolgd bij gerechtelijke, administratieve of andere overheidsinstanties een effectieve en kosteloze vertegenwoordiging in rechte te bieden. Kinderrechtsstelsels mogen kinderen niet toestaan af te zien van wettelijke vertegenwoordiging, tenzij de beslissing om af te zien van rechtsbijstand vrijwillig en onder onpartijdig gerechtelijk toezicht wordt genomen.</w:t>
      </w:r>
    </w:p>
    <w:p w14:paraId="124AC0B5" w14:textId="3ABE6F1F" w:rsidR="004E782F" w:rsidRPr="002D64A9" w:rsidRDefault="002D64A9" w:rsidP="002D64A9">
      <w:pPr>
        <w:pStyle w:val="SingleTxtG"/>
      </w:pPr>
      <w:r>
        <w:t xml:space="preserve">52.</w:t>
      </w:r>
      <w:r>
        <w:tab/>
      </w:r>
      <w:r>
        <w:t xml:space="preserve">Indien kinderen worden geplaatst in programma's voor buitengerechtelijke afdoening of in een systeem zitten dat niet leidt tot veroordelingen, een strafblad of vrijheidsberoving, kan “andere passende bijstand” door goed opgeleide ambtenaren een aanvaardbare vorm van bijstand zijn, hoewel Staten die kinderen tijdens alle processen juridisch vertegenwoordiging kunnen bieden, dit overeenkomstig artikel 41 dienen te doen.</w:t>
      </w:r>
      <w:r>
        <w:t xml:space="preserve"> </w:t>
      </w:r>
      <w:r>
        <w:t xml:space="preserve">Wanneer andere passende bijstand is toegestaan, dient de persoon die de bijstand verleent, voldoende kennis te hebben van de juridische aspecten van de kinderrechtprocedure en een passende opleiding te krijgen.</w:t>
      </w:r>
      <w:r>
        <w:t xml:space="preserve"> </w:t>
      </w:r>
    </w:p>
    <w:p w14:paraId="58CFAA4E" w14:textId="3312AC25" w:rsidR="004E782F" w:rsidRPr="000435F2" w:rsidRDefault="002D64A9" w:rsidP="002D64A9">
      <w:pPr>
        <w:pStyle w:val="SingleTxtG"/>
      </w:pPr>
      <w:r>
        <w:t xml:space="preserve">53.</w:t>
      </w:r>
      <w:r>
        <w:tab/>
      </w:r>
      <w:r>
        <w:t xml:space="preserve">Zoals voorgeschreven in artikel 14 (3) (b) van het Internationaal Verdrag inzake burgerrechten en politieke rechten, dienen er voldoende tijd en faciliteiten te zijn voor de voorbereiding van de verdediging.</w:t>
      </w:r>
      <w:r>
        <w:t xml:space="preserve"> </w:t>
      </w:r>
      <w:r>
        <w:t xml:space="preserve">Volgens het Verdrag inzake de Rechten van het Kind moet de vertrouwelijkheid van de communicatie tussen het kind en diens wettelijke vertegenwoordiger of andere assistent worden gewaarborgd (art.</w:t>
      </w:r>
      <w:r>
        <w:t xml:space="preserve"> </w:t>
      </w:r>
      <w:r>
        <w:t xml:space="preserve">40 (2) (b) (vii)) en het recht van het kind op bescherming tegen inmenging in zijn of haar privacy en correspondentie moet worden geëerbiedigd (art.</w:t>
      </w:r>
      <w:r>
        <w:t xml:space="preserve"> </w:t>
      </w:r>
      <w:r>
        <w:t xml:space="preserve">16).</w:t>
      </w:r>
    </w:p>
    <w:p w14:paraId="31C56846" w14:textId="2C258EE2" w:rsidR="004E782F" w:rsidRPr="000435F2" w:rsidRDefault="00431A78" w:rsidP="00682DBE">
      <w:pPr>
        <w:pStyle w:val="H23G"/>
      </w:pPr>
      <w:r>
        <w:tab/>
        <w:tab/>
        <w:tab/>
      </w:r>
      <w:r>
        <w:t xml:space="preserve">Beslissingen zonder uitstel en met de betrokkenheid van ouders of voogden (art.</w:t>
      </w:r>
      <w:r>
        <w:t xml:space="preserve"> </w:t>
      </w:r>
      <w:r>
        <w:t xml:space="preserve">40 (2) (b) (iii))</w:t>
      </w:r>
    </w:p>
    <w:p w14:paraId="7D3E1B85" w14:textId="23A10A75" w:rsidR="004E782F" w:rsidRPr="002D64A9" w:rsidRDefault="002D64A9" w:rsidP="002D64A9">
      <w:pPr>
        <w:pStyle w:val="SingleTxtG"/>
      </w:pPr>
      <w:r>
        <w:t xml:space="preserve">54.</w:t>
      </w:r>
      <w:r>
        <w:tab/>
      </w:r>
      <w:r>
        <w:t xml:space="preserve">Het Comité herhaalt dat de tijd tussen het plegen van het strafbare feit en de beëindiging van de procedure zo kort mogelijk dient te zijn.</w:t>
      </w:r>
      <w:r>
        <w:t xml:space="preserve"> </w:t>
      </w:r>
      <w:r>
        <w:t xml:space="preserve">Hoe langer deze periode, hoe waarschijnlijker het is dat de respons niet het gewenste resultaat oplevert.</w:t>
      </w:r>
    </w:p>
    <w:p w14:paraId="52B2B234" w14:textId="32C0CE94" w:rsidR="004E782F" w:rsidRPr="002D64A9" w:rsidRDefault="002D64A9" w:rsidP="002D64A9">
      <w:pPr>
        <w:pStyle w:val="SingleTxtG"/>
      </w:pPr>
      <w:r>
        <w:t xml:space="preserve">55.</w:t>
      </w:r>
      <w:r>
        <w:tab/>
      </w:r>
      <w:r>
        <w:t xml:space="preserve">Het Comité adviseert de Staten die partij zijn termijnen vast te stellen en toe te passen voor de periode tussen het plegen van het strafbare feit en de afronding van het politieonderzoek, de beslissing van de officier van justitie (of een andere bevoegde instantie) om een tenlastelegging in te stellen, alsmede de definitieve beslissing van de rechtbank of een andere gerechtelijke instantie.</w:t>
      </w:r>
      <w:r>
        <w:t xml:space="preserve"> </w:t>
      </w:r>
      <w:r>
        <w:t xml:space="preserve">Deze termijnen dienen veel korter te zijn dan die welke voor volwassenen zijn vastgesteld, maar dienen het mogelijk te maken dat de wettelijke waarborgen volledig worden nageleefd.</w:t>
      </w:r>
      <w:r>
        <w:t xml:space="preserve"> </w:t>
      </w:r>
      <w:r>
        <w:t xml:space="preserve">Vergelijkbare snelle tijdslimieten zouden ook dienen te gelden voor  maatregelen voor buitengerechtelijke afdoening.</w:t>
      </w:r>
    </w:p>
    <w:p w14:paraId="2C6B5C85" w14:textId="4632D2D0" w:rsidR="004E782F" w:rsidRPr="002D64A9" w:rsidRDefault="002D64A9" w:rsidP="002D64A9">
      <w:pPr>
        <w:pStyle w:val="SingleTxtG"/>
      </w:pPr>
      <w:r>
        <w:t xml:space="preserve">56.</w:t>
      </w:r>
      <w:r>
        <w:tab/>
      </w:r>
      <w:r>
        <w:t xml:space="preserve">Ouders of wettelijke voogden dienen gedurende de gehele procedure aanwezig zijn.</w:t>
      </w:r>
      <w:r>
        <w:t xml:space="preserve"> </w:t>
      </w:r>
      <w:r>
        <w:t xml:space="preserve">De rechter of de bevoegde autoriteit kan echter besluiten hun aanwezigheid in de procedure te beperken, aan banden te leggen of uit te sluiten, op verzoek van het kind of zijn wettelijke of andere geschikte medewerker of omdat dit niet in het belang van het kind is.</w:t>
      </w:r>
      <w:r>
        <w:t xml:space="preserve"> </w:t>
      </w:r>
    </w:p>
    <w:p w14:paraId="2DC915D0" w14:textId="55B48A88" w:rsidR="004E782F" w:rsidRPr="000435F2" w:rsidRDefault="002D64A9" w:rsidP="002D64A9">
      <w:pPr>
        <w:pStyle w:val="SingleTxtG"/>
      </w:pPr>
      <w:r>
        <w:t xml:space="preserve">57.</w:t>
      </w:r>
      <w:r>
        <w:tab/>
      </w:r>
      <w:r>
        <w:t xml:space="preserve">Het Comité adviseert de Staten die partij zijn om expliciet wetgeving uit te vaardigen om ouders of voogden zo veel mogelijk bij de procedure te betrekken, omdat zij het kind algemene psychologische en emotionele hulp kunnen bieden en kunnen bijdragen aan doeltreffende resultaten.</w:t>
      </w:r>
      <w:r>
        <w:t xml:space="preserve"> </w:t>
      </w:r>
      <w:r>
        <w:t xml:space="preserve">Het Comité beseft ook dat veel kinderen informeel bij familieleden wonen die noch ouders noch wettelijke voogd zijn en dat de wetgeving dient te worden aangepast om echte verzorgers in staat te stellen kinderen in procedures bij te staan als ouders niet beschikbaar zijn.</w:t>
      </w:r>
    </w:p>
    <w:p w14:paraId="10C28291" w14:textId="54FDD557" w:rsidR="004E782F" w:rsidRPr="000435F2" w:rsidRDefault="004E782F" w:rsidP="004E782F">
      <w:pPr>
        <w:pStyle w:val="H23G"/>
      </w:pPr>
      <w:r>
        <w:tab/>
        <w:tab/>
      </w:r>
      <w:r>
        <w:t xml:space="preserve">Vrijwaring van verplichte zelfbeschuldiging (art.</w:t>
      </w:r>
      <w:r>
        <w:t xml:space="preserve"> </w:t>
      </w:r>
      <w:r>
        <w:t xml:space="preserve">40 (2) (b) (iv))</w:t>
      </w:r>
    </w:p>
    <w:p w14:paraId="11179E44" w14:textId="12F432A6" w:rsidR="004E782F" w:rsidRPr="008B620C" w:rsidRDefault="002D64A9" w:rsidP="002D64A9">
      <w:pPr>
        <w:pStyle w:val="SingleTxtG"/>
      </w:pPr>
      <w:r>
        <w:t xml:space="preserve">58.</w:t>
      </w:r>
      <w:r>
        <w:tab/>
      </w:r>
      <w:r>
        <w:t xml:space="preserve">De Staten die partij zijn, dienen ervoor te zorgen dat een kind niet wordt gedwongen om een verklaring af te leggen of schuld te bekennen of te erkennen.</w:t>
      </w:r>
      <w:r>
        <w:t xml:space="preserve"> </w:t>
      </w:r>
      <w:r>
        <w:t xml:space="preserve">Het begaan van folteringen of wrede, onmenselijke of vernederende behandelingen om een erkenning of bekentenis te verkrijgen, vormt een ernstige schending van de rechten van het kind (Verdrag inzake de Rechten van het Kind, art.</w:t>
      </w:r>
      <w:r>
        <w:t xml:space="preserve"> </w:t>
      </w:r>
      <w:r>
        <w:t xml:space="preserve">37 (a)).</w:t>
      </w:r>
      <w:r>
        <w:t xml:space="preserve"> </w:t>
      </w:r>
      <w:r>
        <w:t xml:space="preserve">Een dergelijke erkenning of bekentenis is ontoelaatbaar als bewijs (Verdrag tegen foltering en andere wrede, onmenselijke of vernederende behandeling of bestraffing, art.</w:t>
      </w:r>
      <w:r>
        <w:t xml:space="preserve"> </w:t>
      </w:r>
      <w:r>
        <w:t xml:space="preserve">15).</w:t>
      </w:r>
    </w:p>
    <w:p w14:paraId="521F42E9" w14:textId="043CF3D9" w:rsidR="004E782F" w:rsidRPr="000435F2" w:rsidRDefault="00A94455" w:rsidP="002D64A9">
      <w:pPr>
        <w:pStyle w:val="SingleTxtG"/>
      </w:pPr>
      <w:r>
        <w:t xml:space="preserve">59.</w:t>
      </w:r>
      <w:r>
        <w:tab/>
      </w:r>
      <w:r>
        <w:t xml:space="preserve">Dwang die een kind naar een bekentenis of zelf-beschuldigende getuigenis leidt, is ontoelaatbaar.</w:t>
      </w:r>
      <w:r>
        <w:t xml:space="preserve"> </w:t>
      </w:r>
      <w:r>
        <w:t xml:space="preserve">De term “gedwongen” dient ruim te worden geïnterpreteerd en mag niet beperkt blijven tot fysieke kracht.</w:t>
      </w:r>
      <w:r>
        <w:t xml:space="preserve"> </w:t>
      </w:r>
      <w:r>
        <w:t xml:space="preserve">Het risico van een valse bekentenis wordt vergroot door de leeftijd en de ontwikkeling van het kind, het gebrek aan begrip en de angst voor onbekende gevolgen, waaronder de voorgestelde mogelijkheid van gevangenisstraf, alsook door de duur en de omstandigheden van de ondervraging.</w:t>
      </w:r>
    </w:p>
    <w:p w14:paraId="1456C4EE" w14:textId="13BA4FF1" w:rsidR="004E782F" w:rsidRPr="000435F2" w:rsidRDefault="002D64A9" w:rsidP="002D64A9">
      <w:pPr>
        <w:pStyle w:val="SingleTxtG"/>
      </w:pPr>
      <w:r>
        <w:t xml:space="preserve">60.</w:t>
      </w:r>
      <w:r>
        <w:tab/>
      </w:r>
      <w:r>
        <w:t xml:space="preserve">Het kind dient toegang te hebben tot juridische of andere passende bijstand en dient tijdens het verhoor te worden ondersteund door een ouder, wettelijke voogd of een andere geschikte volwassene.</w:t>
      </w:r>
      <w:r>
        <w:t xml:space="preserve"> </w:t>
      </w:r>
      <w:r>
        <w:t xml:space="preserve">Bij de beoordeling van de vrijwilligheid en betrouwbaarheid van de erkenning of bekentenis van een kind dient de rechter of een ander gerechtelijk orgaan rekening te houden met alle factoren, waaronder de leeftijd en de rijpheid van het kind, de duur van het verhoor of de hechtenis en de aanwezigheid van juridische of andere onafhankelijke bijstand en van de ouder(s), voogd of geschikte volwassene.</w:t>
      </w:r>
      <w:r>
        <w:t xml:space="preserve"> </w:t>
      </w:r>
      <w:r>
        <w:t xml:space="preserve">Politieagenten en andere opsporingsautoriteiten dienen goed opgeleid te worden om technieken en praktijken te vermijden die leiden tot gedwongen of onbetrouwbare bekentenissen of getuigenissen en waar mogelijk dienen audiovisuele technieken te worden gebruikt.</w:t>
      </w:r>
    </w:p>
    <w:p w14:paraId="5FCDA198" w14:textId="77777777" w:rsidR="004E782F" w:rsidRPr="000435F2" w:rsidRDefault="004E782F" w:rsidP="004E782F">
      <w:pPr>
        <w:pStyle w:val="H23G"/>
      </w:pPr>
      <w:r>
        <w:tab/>
        <w:tab/>
      </w:r>
      <w:r>
        <w:t xml:space="preserve">Aanwezigheid en ondervraging van getuigen (art.</w:t>
      </w:r>
      <w:r>
        <w:t xml:space="preserve"> </w:t>
      </w:r>
      <w:r>
        <w:t xml:space="preserve">40 (2) (b) (iv))</w:t>
      </w:r>
    </w:p>
    <w:p w14:paraId="6EBD3AD4" w14:textId="6D997B8F" w:rsidR="004E782F" w:rsidRPr="000435F2" w:rsidRDefault="00722FED" w:rsidP="002D64A9">
      <w:pPr>
        <w:pStyle w:val="SingleTxtG"/>
      </w:pPr>
      <w:r>
        <w:t xml:space="preserve">61.</w:t>
      </w:r>
      <w:r>
        <w:tab/>
      </w:r>
      <w:r>
        <w:t xml:space="preserve">Kinderen hebben het recht getuigen die tegen hen getuigenverklaringen afleggen te ondervragen en getuigen in te schakelen om hun verdediging te ondersteunen en kinderrechtprocedures dienen de deelname van het kind, onder voorwaarden van gelijkheid, met juridische bijstand te bevorderen.</w:t>
      </w:r>
    </w:p>
    <w:p w14:paraId="6C86C575" w14:textId="342600D4" w:rsidR="004E782F" w:rsidRPr="000435F2" w:rsidRDefault="00431A78" w:rsidP="00702C9E">
      <w:pPr>
        <w:pStyle w:val="H23G"/>
      </w:pPr>
      <w:r>
        <w:tab/>
        <w:tab/>
        <w:tab/>
      </w:r>
      <w:r>
        <w:t xml:space="preserve">Recht op herziening of beroep (art.</w:t>
      </w:r>
      <w:r>
        <w:t xml:space="preserve"> </w:t>
      </w:r>
      <w:r>
        <w:t xml:space="preserve">40 (2) (b) (v))</w:t>
      </w:r>
    </w:p>
    <w:p w14:paraId="09520FD2" w14:textId="0C6F429C" w:rsidR="004E782F" w:rsidRPr="000435F2" w:rsidRDefault="00722FED" w:rsidP="002D64A9">
      <w:pPr>
        <w:pStyle w:val="SingleTxtG"/>
      </w:pPr>
      <w:r>
        <w:t xml:space="preserve">62.</w:t>
      </w:r>
      <w:r>
        <w:tab/>
      </w:r>
      <w:r>
        <w:t xml:space="preserve">Het kind heeft het recht om elke schuldigverklaring of opgelegde maatregelen te laten toetsen door een hogere bevoegde, onafhankelijke en onpartijdige autoriteit of gerechtelijke instantie.</w:t>
      </w:r>
      <w:r>
        <w:t xml:space="preserve"> </w:t>
      </w:r>
      <w:r>
        <w:t xml:space="preserve">Dit recht van herziening is niet beperkt tot de ernstigste misdrijven.</w:t>
      </w:r>
      <w:r>
        <w:t xml:space="preserve"> </w:t>
      </w:r>
      <w:r>
        <w:t xml:space="preserve">De Staten die partij zijn, dienen te overwegen automatische controlemaatregelen in te voeren, met name in gevallen die leiden tot een strafblad of een vrijheidsstraf.</w:t>
      </w:r>
      <w:r>
        <w:t xml:space="preserve"> </w:t>
      </w:r>
      <w:r>
        <w:t xml:space="preserve">Bovendien vereist de toegang tot de rechter een ruimere interpretatie, die het mogelijk maakt om elke procedurele of inhoudelijke misleiding te herzien of ertegen in beroep te gaan en ervoor te zorgen dat doeltreffende rechtsmiddelen beschikbaar zijn.</w:t>
      </w:r>
      <w:r w:rsidR="003E4995">
        <w:rPr>
          <w:rStyle w:val="Voetnootmarkering"/>
          <w:lang w:val="en-US"/>
        </w:rPr>
        <w:footnoteReference w:id="6"/>
      </w:r>
      <w:r>
        <w:t xml:space="preserve"> </w:t>
      </w:r>
    </w:p>
    <w:p w14:paraId="2C359793" w14:textId="7931A2D7" w:rsidR="004E782F" w:rsidRPr="000435F2" w:rsidRDefault="00A94455" w:rsidP="002D64A9">
      <w:pPr>
        <w:pStyle w:val="SingleTxtG"/>
      </w:pPr>
      <w:r>
        <w:t xml:space="preserve">63.</w:t>
      </w:r>
      <w:r>
        <w:tab/>
      </w:r>
      <w:r>
        <w:t xml:space="preserve">Het Comité raadt de Staten die partij zijn aan elk voorbehoud ten aanzien van artikel 40 (2) (b) (v), in te trekken.</w:t>
      </w:r>
    </w:p>
    <w:p w14:paraId="1F04A34B" w14:textId="24B5B2DE" w:rsidR="004E782F" w:rsidRPr="000435F2" w:rsidRDefault="004E782F" w:rsidP="004E782F">
      <w:pPr>
        <w:pStyle w:val="H23G"/>
      </w:pPr>
      <w:r>
        <w:tab/>
        <w:tab/>
      </w:r>
      <w:r>
        <w:t xml:space="preserve">Gratis bijstand door een tolk (art.</w:t>
      </w:r>
      <w:r>
        <w:t xml:space="preserve"> </w:t>
      </w:r>
      <w:r>
        <w:t xml:space="preserve">40 (2) (b) (vi))</w:t>
      </w:r>
    </w:p>
    <w:p w14:paraId="0FF93344" w14:textId="38C7C133" w:rsidR="004E782F" w:rsidRPr="000435F2" w:rsidRDefault="00722FED" w:rsidP="002D64A9">
      <w:pPr>
        <w:pStyle w:val="SingleTxtG"/>
      </w:pPr>
      <w:r>
        <w:t xml:space="preserve">64.</w:t>
      </w:r>
      <w:r>
        <w:tab/>
      </w:r>
      <w:r>
        <w:t xml:space="preserve">Een kind dat de taal die in het kinderrechtsstelsel wordt gebruikt niet kan verstaan of spreken, heeft recht op kosteloze bijstand door een tolk in alle stadia van het proces.</w:t>
      </w:r>
      <w:r>
        <w:t xml:space="preserve"> </w:t>
      </w:r>
      <w:r>
        <w:t xml:space="preserve">Dergelijke tolken dienen te worden opgeleid om met kinderen te werken.</w:t>
      </w:r>
    </w:p>
    <w:p w14:paraId="663061F6" w14:textId="16EE5A10" w:rsidR="004E782F" w:rsidRPr="000435F2" w:rsidRDefault="00A94455" w:rsidP="002D64A9">
      <w:pPr>
        <w:pStyle w:val="SingleTxtG"/>
      </w:pPr>
      <w:r>
        <w:t xml:space="preserve">65.</w:t>
      </w:r>
      <w:r>
        <w:tab/>
      </w:r>
      <w:r>
        <w:t xml:space="preserve">De Staten die partij zijn, dienen kinderen die te maken hebben met communicatiebarrières, voldoende en effectieve bijstand te bieden door goed opgeleide professionals.</w:t>
      </w:r>
    </w:p>
    <w:p w14:paraId="692B054A" w14:textId="14F05746" w:rsidR="004E782F" w:rsidRPr="000435F2" w:rsidRDefault="00431A78" w:rsidP="00702C9E">
      <w:pPr>
        <w:pStyle w:val="H23G"/>
      </w:pPr>
      <w:r>
        <w:tab/>
        <w:tab/>
        <w:tab/>
      </w:r>
      <w:r>
        <w:t xml:space="preserve">Volledige eerbiediging van de privacy (art.</w:t>
      </w:r>
      <w:r>
        <w:t xml:space="preserve"> </w:t>
      </w:r>
      <w:r>
        <w:t xml:space="preserve">16 en 40 (2) (b) (vii))</w:t>
      </w:r>
    </w:p>
    <w:p w14:paraId="13157F77" w14:textId="2431F7E0" w:rsidR="00E84727" w:rsidRPr="002D64A9" w:rsidRDefault="00722FED" w:rsidP="00F32D62">
      <w:pPr>
        <w:pStyle w:val="SingleTxtG"/>
      </w:pPr>
      <w:r>
        <w:t xml:space="preserve">66.</w:t>
      </w:r>
      <w:r>
        <w:tab/>
      </w:r>
      <w:r>
        <w:t xml:space="preserve">Het in artikel  40 (2) (b) (vii) neergelegde recht van een kind op volledige eerbiediging van zijn of haar privacy in alle stadia van de procedure dient samen met de artikelen 16 en 40 (1) te worden gelezen.</w:t>
      </w:r>
      <w:r>
        <w:t xml:space="preserve"> </w:t>
      </w:r>
    </w:p>
    <w:p w14:paraId="0FDB1F7D" w14:textId="4E7BA6B9" w:rsidR="00E84727" w:rsidRPr="002D64A9" w:rsidRDefault="00722FED" w:rsidP="002D64A9">
      <w:pPr>
        <w:pStyle w:val="SingleTxtG"/>
      </w:pPr>
      <w:r>
        <w:t xml:space="preserve">67.</w:t>
      </w:r>
      <w:r>
        <w:tab/>
      </w:r>
      <w:r>
        <w:t xml:space="preserve">De Staten die partij zijn, dienen de regel te eerbiedigen dat de hoorzittingen over de rechten van het kind achter gesloten deuren worden gehouden.</w:t>
      </w:r>
      <w:r>
        <w:t xml:space="preserve"> </w:t>
      </w:r>
      <w:r>
        <w:t xml:space="preserve">Uitzonderingen dienen zeer te worden beperkt en duidelijk in de wet te worden vermeld.</w:t>
      </w:r>
      <w:r>
        <w:t xml:space="preserve"> </w:t>
      </w:r>
      <w:r>
        <w:t xml:space="preserve">Indien de uitspraak en/of het vonnis in het openbaar wordt uitgesproken tijdens een rechtszitting, mag de identiteit van het kind niet openbaar worden gemaakt.</w:t>
      </w:r>
      <w:r>
        <w:t xml:space="preserve"> </w:t>
      </w:r>
      <w:r>
        <w:t xml:space="preserve">Bovendien houdt het recht op privacy ook in dat de gerechtelijke dossiers en documenten van kinderen strikt vertrouwelijk dienen te worden bewaard en gesloten voor derden, behalve voor degenen die rechtstreeks betrokken zijn bij het onderzoek, de berechting van en de uitspraak in de zaak.</w:t>
      </w:r>
    </w:p>
    <w:p w14:paraId="21133F23" w14:textId="74C63088" w:rsidR="00612081" w:rsidRPr="002D64A9" w:rsidRDefault="00722FED" w:rsidP="002D64A9">
      <w:pPr>
        <w:pStyle w:val="SingleTxtG"/>
      </w:pPr>
      <w:r>
        <w:t xml:space="preserve">68.</w:t>
      </w:r>
      <w:r>
        <w:tab/>
      </w:r>
      <w:r>
        <w:t xml:space="preserve">Jurisprudentie met betrekking tot kinderen dient anoniem te zijn en dergelijke rapporten die online worden geplaatst, dienen aan deze regel te voldoen.</w:t>
      </w:r>
    </w:p>
    <w:p w14:paraId="121ABA90" w14:textId="76AAAEAB" w:rsidR="004E782F" w:rsidRDefault="00722FED" w:rsidP="002D64A9">
      <w:pPr>
        <w:pStyle w:val="SingleTxtG"/>
      </w:pPr>
      <w:r>
        <w:t xml:space="preserve">69.</w:t>
      </w:r>
      <w:r>
        <w:tab/>
      </w:r>
      <w:r>
        <w:t xml:space="preserve">Het Comité raadt de Staten aan de gegevens van kinderen of personen die op het moment van het plegen van het misdrijf een kind waren, niet op te nemen in openbare registers van daders.</w:t>
      </w:r>
      <w:r>
        <w:t xml:space="preserve"> </w:t>
      </w:r>
      <w:r>
        <w:t xml:space="preserve">De opname van dergelijke gegevens in andere registers die niet openbaar zijn, maar die de toegang tot reïntegratiemogelijkheden belemmeren, dient te worden vermeden.</w:t>
      </w:r>
    </w:p>
    <w:p w14:paraId="10277CF8" w14:textId="1A781497" w:rsidR="00F56E7F" w:rsidRDefault="00722FED" w:rsidP="002D64A9">
      <w:pPr>
        <w:pStyle w:val="SingleTxtG"/>
      </w:pPr>
      <w:r>
        <w:t xml:space="preserve">70.</w:t>
      </w:r>
      <w:r>
        <w:tab/>
      </w:r>
      <w:r>
        <w:t xml:space="preserve">Het Comité is van mening dat er een levenslange bescherming dient te zijn tegen publicatie van door kinderen gepleegde misdrijven.</w:t>
      </w:r>
      <w:r>
        <w:t xml:space="preserve"> </w:t>
      </w:r>
      <w:r>
        <w:t xml:space="preserve">De reden voor deze regel voor het niet-publiceren, en voor het voortbestaan ervan na het bereiken van de leeftijd van 18 jaar, is dat publicatie leidt tot voortdurende stigmatisering, wat waarschijnlijk een negatief effect zal hebben op de toegang tot onderwijs, werk, huisvesting of veiligheid.</w:t>
      </w:r>
      <w:r>
        <w:t xml:space="preserve"> </w:t>
      </w:r>
      <w:r>
        <w:t xml:space="preserve">Dit belemmert de reïntegratie van het kind en de aanvaarding van een constructieve rol in de samenleving.</w:t>
      </w:r>
      <w:r>
        <w:t xml:space="preserve"> </w:t>
      </w:r>
      <w:r>
        <w:t xml:space="preserve">De Staten die partij zijn, dienen er dus voor te zorgen, dat de algemene regel is dat de bescherming van de privacy voor alle soorten media, met inbegrip van de sociale media, levenslang dient te gelden.</w:t>
      </w:r>
      <w:r>
        <w:t xml:space="preserve"> </w:t>
      </w:r>
    </w:p>
    <w:p w14:paraId="2673D6DE" w14:textId="13558551" w:rsidR="004E782F" w:rsidRPr="000435F2" w:rsidRDefault="00722FED" w:rsidP="002D64A9">
      <w:pPr>
        <w:pStyle w:val="SingleTxtG"/>
      </w:pPr>
      <w:r>
        <w:t xml:space="preserve">71.</w:t>
      </w:r>
      <w:r>
        <w:tab/>
      </w:r>
      <w:r>
        <w:t xml:space="preserve">Voorts adviseert het Comité de Staten die partij zijn regels in te voeren die het mogelijk maken om het strafblad van kinderen bij het bereiken van de leeftijd van 18 jaar automatisch of, in uitzonderlijke gevallen, na onafhankelijk onderzoek te verwijderen.</w:t>
      </w:r>
      <w:r>
        <w:t xml:space="preserve"> </w:t>
      </w:r>
    </w:p>
    <w:p w14:paraId="31908CBE" w14:textId="52E83683" w:rsidR="004E782F" w:rsidRPr="000435F2" w:rsidRDefault="004E782F" w:rsidP="004E782F">
      <w:pPr>
        <w:pStyle w:val="H1G"/>
      </w:pPr>
      <w:r>
        <w:tab/>
      </w:r>
      <w:r>
        <w:t xml:space="preserve">E.</w:t>
        <w:tab/>
        <w:t xml:space="preserve">Maatregelen</w:t>
      </w:r>
      <w:r w:rsidR="00614C17" w:rsidRPr="0075567E">
        <w:rPr>
          <w:rStyle w:val="Voetnootmarkering"/>
          <w:b w:val="0"/>
          <w:bCs/>
        </w:rPr>
        <w:footnoteReference w:id="7"/>
      </w:r>
      <w:r>
        <w:t xml:space="preserve"> </w:t>
      </w:r>
    </w:p>
    <w:p w14:paraId="117414A4" w14:textId="108E2078" w:rsidR="004E782F" w:rsidRPr="000435F2" w:rsidRDefault="004E782F" w:rsidP="004E782F">
      <w:pPr>
        <w:pStyle w:val="H23G"/>
      </w:pPr>
      <w:r>
        <w:tab/>
        <w:tab/>
      </w:r>
      <w:r>
        <w:t xml:space="preserve">Buitengerechtelijke afdoening gedurende de gehele procedure</w:t>
      </w:r>
    </w:p>
    <w:p w14:paraId="2D489339" w14:textId="7005A346" w:rsidR="004E782F" w:rsidRPr="00431A78" w:rsidRDefault="00722FED" w:rsidP="002D64A9">
      <w:pPr>
        <w:pStyle w:val="SingleTxtG"/>
      </w:pPr>
      <w:r>
        <w:t xml:space="preserve">72.</w:t>
      </w:r>
      <w:r>
        <w:tab/>
      </w:r>
      <w:r>
        <w:t xml:space="preserve">De beslissing om een kind voor het gerecht te brengen betekent niet dat het kind een formele gerechtelijke procedure dient te doorlopen.</w:t>
      </w:r>
      <w:r>
        <w:t xml:space="preserve"> </w:t>
      </w:r>
      <w:r>
        <w:t xml:space="preserve">In overeenstemming met de opmerkingen die hierboven in deel IV.B zijn gemaakt, benadrukt het Comité dat de bevoegde autoriteiten - in de meeste Staten de officier van justitie - voortdurend de mogelijkheden dienen te onderzoeken om door middel van buitengerechtelijke afdoening en andere maatregelen een rechtszaak of veroordeling te voorkomen.</w:t>
      </w:r>
      <w:r>
        <w:t xml:space="preserve"> </w:t>
      </w:r>
      <w:r>
        <w:t xml:space="preserve">Met andere woorden, er dienen mogelijkheden tot buitengerechtelijke afdoening te worden geboden vanaf het vroegste contactpunt, voordat het proces begint, en deze dienen gedurende de gehele procedure beschikbaar te zijn.</w:t>
      </w:r>
      <w:r>
        <w:t xml:space="preserve"> </w:t>
      </w:r>
      <w:r>
        <w:t xml:space="preserve">Bij het aanbieden van buitengerechtelijke afdoening dienen de mensenrechten en de juridische waarborgen van het kind volledig te worden geëerbiedigd, rekening houdend met het feit dat de aard en de duur van de maatregelen voor buitengerechtelijke afdoening veeleisend kunnen zijn en dat derhalve juridische of andere passende bijstand nodig is.</w:t>
      </w:r>
      <w:r>
        <w:t xml:space="preserve"> </w:t>
      </w:r>
      <w:r>
        <w:t xml:space="preserve">De buitengerechtelijke afdoening dient aan het kind te worden voorgelegd als een manier om de formele gerechtelijke procedure op te schorten, die zal worden beëindigd indien het programma voor buitengerechtelijke afdoening op bevredigende wijze wordt uitgevoerd.</w:t>
      </w:r>
    </w:p>
    <w:p w14:paraId="6BE026F2" w14:textId="4EFFC27A" w:rsidR="004E782F" w:rsidRPr="000435F2" w:rsidRDefault="004E782F" w:rsidP="004E782F">
      <w:pPr>
        <w:pStyle w:val="H23G"/>
      </w:pPr>
      <w:r>
        <w:tab/>
        <w:tab/>
      </w:r>
      <w:r>
        <w:t xml:space="preserve">Beschikkingen van de kinderrechtbank</w:t>
      </w:r>
    </w:p>
    <w:p w14:paraId="114308FA" w14:textId="2355B3BC" w:rsidR="004E782F" w:rsidRPr="002D64A9" w:rsidRDefault="00722FED" w:rsidP="002D64A9">
      <w:pPr>
        <w:pStyle w:val="SingleTxtG"/>
      </w:pPr>
      <w:r>
        <w:t xml:space="preserve">73.</w:t>
      </w:r>
      <w:r>
        <w:tab/>
      </w:r>
      <w:r>
        <w:t xml:space="preserve">Nadat een procedure met volledige inachtneming van artikel 40 van het Verdrag is gevoerd (zie punt IV.D hierboven), wordt een beslissing genomen over de beschikkingen.</w:t>
      </w:r>
      <w:r>
        <w:t xml:space="preserve"> </w:t>
      </w:r>
      <w:r>
        <w:t xml:space="preserve">De wetten dienen een grote verscheidenheid aan niet tot vrijheidsbeneming strekkende maatregelen te bevatten en dienen uitdrukkelijk voorrang te geven aan het gebruik van dergelijke maatregelen om ervoor te zorgen dat vrijheidsbeneming alleen als laatste redmiddel en voor de kortst mogelijke passende termijn wordt gebruikt.</w:t>
      </w:r>
    </w:p>
    <w:p w14:paraId="0737507B" w14:textId="1E0EE341" w:rsidR="00FE2D96" w:rsidRPr="002D64A9" w:rsidRDefault="00722FED" w:rsidP="002D64A9">
      <w:pPr>
        <w:pStyle w:val="SingleTxtG"/>
      </w:pPr>
      <w:r>
        <w:t xml:space="preserve">74.</w:t>
      </w:r>
      <w:r>
        <w:tab/>
      </w:r>
      <w:r>
        <w:t xml:space="preserve">Er is veel ervaring opgedaan met het gebruik en de uitvoering van niet tot vrijheidsbeneming strekkende maatregelen, waaronder maatregelen voor herstelrecht.</w:t>
      </w:r>
      <w:r>
        <w:t xml:space="preserve"> </w:t>
      </w:r>
      <w:r>
        <w:t xml:space="preserve">De Staten die partij zijn, dienen van deze ervaring te profiteren en dergelijke maatregelen te ontwikkelen en uit te voeren door ze aan te passen aan hun eigen cultuur en traditie.</w:t>
      </w:r>
      <w:r>
        <w:t xml:space="preserve"> </w:t>
      </w:r>
      <w:r>
        <w:t xml:space="preserve">Maatregelen die neerkomen op dwangarbeid of op marteling of onmenselijke en vernederende behandeling dienen uitdrukkelijk te worden verboden en bestraft.</w:t>
      </w:r>
    </w:p>
    <w:p w14:paraId="057B4E49" w14:textId="57C40F29" w:rsidR="00AD1E53" w:rsidRPr="000435F2" w:rsidRDefault="00722FED" w:rsidP="002D64A9">
      <w:pPr>
        <w:pStyle w:val="SingleTxtG"/>
      </w:pPr>
      <w:r>
        <w:t xml:space="preserve">75.</w:t>
      </w:r>
      <w:r>
        <w:tab/>
      </w:r>
      <w:r>
        <w:t xml:space="preserve">Het Comité herhaalt dat lijfstraffen als sanctie in strijd zijn met artikel 37 (a) van het Verdrag, dat alle vormen van wrede, onmenselijke en vernederende behandeling of bestraffing verbiedt (zie ook het general comment nr. 8 (2006) van het Comité over het recht van het kind op bescherming tegen lijfstraffen en andere wrede of vernederende vormen van bestraffing).</w:t>
      </w:r>
      <w:r>
        <w:t xml:space="preserve"> </w:t>
      </w:r>
    </w:p>
    <w:p w14:paraId="53BC2A6C" w14:textId="0E4CDB7A" w:rsidR="004E782F" w:rsidRPr="002D64A9" w:rsidRDefault="00722FED" w:rsidP="002D64A9">
      <w:pPr>
        <w:pStyle w:val="SingleTxtG"/>
      </w:pPr>
      <w:r>
        <w:t xml:space="preserve">76.</w:t>
      </w:r>
      <w:r>
        <w:tab/>
      </w:r>
      <w:r>
        <w:t xml:space="preserve">Het Comité benadrukt dat de reactie op een misdrijf altijd in verhouding dient te staan tot de omstandigheden en de ernst van het misdrijf, maar ook tot de persoonlijke omstandigheden (leeftijd, lagere verwijtbaarheid, omstandigheden en behoeften, met inbegrip van, in voorkomend geval, de behoeften van het kind op het gebied van de geestelijke gezondheid), alsook tot de verschillende en bijzonder langdurige behoeften van de samenleving.</w:t>
      </w:r>
      <w:r>
        <w:t xml:space="preserve"> </w:t>
      </w:r>
      <w:r>
        <w:t xml:space="preserve">Een strikt bestraffende aanpak is niet in overeenstemming met de beginselen van het kinderrecht die in artikel 40 (1) van het Verdrag worden genoemd.</w:t>
      </w:r>
      <w:r>
        <w:t xml:space="preserve"> </w:t>
      </w:r>
      <w:r>
        <w:t xml:space="preserve">Wanneer ernstige strafbare feiten door kinderen worden gepleegd, kunnen maatregelen worden overwogen die in verhouding staan tot de omstandigheden van de dader en de ernst van het strafbare feit, met inbegrip van overwegingen in verband met de noodzaak van openbare veiligheid en sancties.</w:t>
      </w:r>
      <w:r>
        <w:t xml:space="preserve"> </w:t>
      </w:r>
      <w:r>
        <w:t xml:space="preserve">In de eerste plaats dient het belang van het kind te worden meegewogen en er dient rekening te worden gehouden met de noodzaak om de reïntegratie van het kind in de samenleving te bevorderen.</w:t>
      </w:r>
    </w:p>
    <w:p w14:paraId="74B455A3" w14:textId="10E3C7B0" w:rsidR="004E782F" w:rsidRPr="000435F2" w:rsidRDefault="00722FED" w:rsidP="002D64A9">
      <w:pPr>
        <w:pStyle w:val="SingleTxtG"/>
      </w:pPr>
      <w:r>
        <w:t xml:space="preserve">77.</w:t>
      </w:r>
      <w:r>
        <w:tab/>
      </w:r>
      <w:r>
        <w:t xml:space="preserve">Het Comité erkent de schade die kinderen en adolescenten door vrijheidsbeneming ondervinden en de negatieve gevolgen daarvan voor hun kansen op een succesvolle reïntegratie en adviseert de Staten die partij zijn voor kinderen die beschuldigd worden van misdrijven een maximumstraf vast te stellen die in overeenstemming is met het beginsel van de "kortst mogelijke passende termijn" (Verdrag inzake de Rechten van het Kind, art.</w:t>
      </w:r>
      <w:r>
        <w:t xml:space="preserve"> </w:t>
      </w:r>
      <w:r>
        <w:t xml:space="preserve">37 (b)).</w:t>
      </w:r>
      <w:r>
        <w:t xml:space="preserve"> </w:t>
      </w:r>
    </w:p>
    <w:p w14:paraId="0E0D976F" w14:textId="1988FD07" w:rsidR="004E782F" w:rsidRPr="000435F2" w:rsidRDefault="00722FED" w:rsidP="002D64A9">
      <w:pPr>
        <w:pStyle w:val="SingleTxtG"/>
      </w:pPr>
      <w:r>
        <w:t xml:space="preserve">78.</w:t>
      </w:r>
      <w:r>
        <w:tab/>
      </w:r>
      <w:r>
        <w:t xml:space="preserve">Verplichte minimumstraffen zijn onverenigbaar met het evenredigheidsbeginsel inzake kinderrecht en met de eis dat detentie een laatste redmiddel moet zijn en voor de kortst mogelijke termijn.</w:t>
      </w:r>
      <w:r>
        <w:t xml:space="preserve"> </w:t>
      </w:r>
      <w:r>
        <w:t xml:space="preserve">Rechtbanken die kinderen veroordelen, dienen te beginnen met een schone lei; zelfs discretionaire minimumstraffen belemmeren de correcte toepassing van internationale normen.</w:t>
      </w:r>
    </w:p>
    <w:p w14:paraId="3A774721" w14:textId="7E7FC72D" w:rsidR="004E782F" w:rsidRPr="000435F2" w:rsidRDefault="004E782F" w:rsidP="004E782F">
      <w:pPr>
        <w:pStyle w:val="H23G"/>
      </w:pPr>
      <w:r>
        <w:tab/>
        <w:tab/>
      </w:r>
      <w:r>
        <w:t xml:space="preserve">Verbod op de doodstraf</w:t>
      </w:r>
    </w:p>
    <w:p w14:paraId="0CF0939C" w14:textId="64D4FA31" w:rsidR="004E782F" w:rsidRDefault="00722FED" w:rsidP="002D64A9">
      <w:pPr>
        <w:pStyle w:val="SingleTxtG"/>
      </w:pPr>
      <w:r>
        <w:t xml:space="preserve">79.</w:t>
      </w:r>
      <w:r>
        <w:tab/>
      </w:r>
      <w:r>
        <w:t xml:space="preserve">Artikel 37 (a) van het Verdrag weerspiegelt het internationaal gewoonterechtelijk verbod op de oplegging van de doodstraf voor een misdrijf dat is gepleegd door een persoon die jonger is dan 18 jaar.</w:t>
      </w:r>
      <w:r>
        <w:t xml:space="preserve"> </w:t>
      </w:r>
      <w:r>
        <w:t xml:space="preserve">Enkele Staten die partij zijn, gaan ervan uit dat de regel alleen de executie verbiedt van personen die op het moment van executie nog geen 18 jaar oud zijn.</w:t>
      </w:r>
      <w:r>
        <w:t xml:space="preserve"> </w:t>
      </w:r>
      <w:r>
        <w:t xml:space="preserve">Andere Staten stellen de executie uit tot de leeftijd van 18 jaar.</w:t>
      </w:r>
      <w:r>
        <w:t xml:space="preserve"> </w:t>
      </w:r>
      <w:r>
        <w:t xml:space="preserve">Het Comité herinnert de Staten die partij zijn eraan, dat de relevante leeftijd de leeftijd is ten tijde van het plegen van de overtreding.</w:t>
      </w:r>
      <w:r>
        <w:t xml:space="preserve"> </w:t>
      </w:r>
      <w:r>
        <w:t xml:space="preserve">Als er geen betrouwbaar en overtuigend bewijs is dat de persoon jonger was dan 18 jaar op het moment dat het misdrijf werd gepleegd, dient hij of zij het voordeel van de twijfel te krijgen en kan de doodstraf niet worden opgelegd.</w:t>
      </w:r>
    </w:p>
    <w:p w14:paraId="045B7A41" w14:textId="7DB758A6" w:rsidR="004E782F" w:rsidRPr="005C73E0" w:rsidRDefault="00722FED" w:rsidP="002D64A9">
      <w:pPr>
        <w:pStyle w:val="SingleTxtG"/>
      </w:pPr>
      <w:r>
        <w:t xml:space="preserve">80.</w:t>
      </w:r>
      <w:r>
        <w:tab/>
      </w:r>
      <w:r>
        <w:t xml:space="preserve">Het Comité roept de weinige Staten die de doodstraf nog niet hebben afgeschaft voor alle delicten die worden gepleegd door personen jonger dan 18 jaar, op om dit met spoed en zonder uitzonderingen te doen.</w:t>
      </w:r>
      <w:r>
        <w:t xml:space="preserve"> </w:t>
      </w:r>
      <w:r>
        <w:t xml:space="preserve">De doodstraf die wordt opgelegd aan een persoon die op het tijdstip van het plegen van het misdrijf jonger was dan 18 jaar, dient te worden omgezet in een sanctie die volledig in overeenstemming is met het Verdrag.</w:t>
      </w:r>
    </w:p>
    <w:p w14:paraId="446DB407" w14:textId="63DD7F2D" w:rsidR="004E782F" w:rsidRPr="000435F2" w:rsidRDefault="00F65676" w:rsidP="00702C9E">
      <w:pPr>
        <w:pStyle w:val="H23G"/>
      </w:pPr>
      <w:r>
        <w:tab/>
        <w:tab/>
      </w:r>
      <w:r>
        <w:t xml:space="preserve">Geen levenslange gevangenisstraf zonder voorwaardelijke invrijheidstelling</w:t>
      </w:r>
    </w:p>
    <w:p w14:paraId="0985BC50" w14:textId="58AC868B" w:rsidR="004E782F" w:rsidRPr="008D54E9" w:rsidRDefault="00722FED" w:rsidP="002D64A9">
      <w:pPr>
        <w:pStyle w:val="SingleTxtG"/>
      </w:pPr>
      <w:r>
        <w:t xml:space="preserve">81.</w:t>
      </w:r>
      <w:r>
        <w:tab/>
      </w:r>
      <w:r>
        <w:t xml:space="preserve">Geen enkel kind dat jonger was dan 18 jaar op het moment dat hij of zij een misdrijf pleegde, mag worden veroordeeld tot levenslange gevangenisstraf zonder de mogelijkheid van vrijlating of voorwaardelijke invrijheidstelling.</w:t>
      </w:r>
      <w:r>
        <w:t xml:space="preserve"> </w:t>
      </w:r>
      <w:r>
        <w:t xml:space="preserve">De periode die dient te worden doorlopen voordat de voorwaardelijke invrijheidstelling wordt overwogen, dient aanzienlijk korter te zijn dan die voor volwassenen en realistisch te zijn en de mogelijkheid van voorwaardelijke invrijheidstelling dient regelmatig opnieuw te worden bekeken.</w:t>
      </w:r>
      <w:r>
        <w:t xml:space="preserve"> </w:t>
      </w:r>
      <w:r>
        <w:t xml:space="preserve">Het Comité herinnert de Staten die partij zijn en die kinderen tot levenslange gevangenisstraf met de mogelijkheid van vrijlating of voorwaardelijke invrijheidstelling veroordelen eraan, dat zij bij de toepassing van deze sanctie dienen te streven naar de verwezenlijking van de doelstellingen van artikel 40 (1) van het Verdrag.</w:t>
      </w:r>
      <w:r>
        <w:t xml:space="preserve"> </w:t>
      </w:r>
      <w:r>
        <w:t xml:space="preserve">Dit betekent onder meer dat een kind dat tot levenslange gevangenisstraf is veroordeeld, onderwijs, behandeling en zorg dient te krijgen gericht op zijn of haar vrijlating, reïntegratie en het vermogen om een constructieve rol in de samenleving te spelen.</w:t>
      </w:r>
      <w:r>
        <w:t xml:space="preserve"> </w:t>
      </w:r>
      <w:r>
        <w:t xml:space="preserve">Dit vereist ook een regelmatige evaluatie van de ontwikkeling en vooruitgang van het kind om te kunnen beslissen over zijn of haar eventuele vrijlating.</w:t>
      </w:r>
      <w:r>
        <w:t xml:space="preserve"> </w:t>
      </w:r>
      <w:r>
        <w:t xml:space="preserve">Levenslange gevangenisstraf maakt het zeer moeilijk, zo niet onmogelijk, om de doelstellingen van reïntegratie te bereiken.</w:t>
      </w:r>
      <w:r>
        <w:t xml:space="preserve"> </w:t>
      </w:r>
      <w:r>
        <w:t xml:space="preserve">Het Comité neemt nota van het verslag uit 2015 waarin de speciale rapporteur voor foltering en andere wrede, onmenselijke of vernederende behandeling of bestraffing vaststelt dat levenslange gevangenisstraffen en langdurige straffen, zoals opeenvolgende veroordelingen, in flagrante mate onevenredig en dus wreed, onmenselijk of vernederend zijn wanneer zij aan een kind</w:t>
      </w:r>
      <w:r>
        <w:rPr>
          <w:b/>
          <w:u w:color="000000"/>
        </w:rPr>
        <w:t xml:space="preserve"> </w:t>
      </w:r>
      <w:r>
        <w:t xml:space="preserve">worden opgelegd (A/HRC/28/68, par.</w:t>
      </w:r>
      <w:r>
        <w:t xml:space="preserve"> </w:t>
      </w:r>
      <w:r>
        <w:t xml:space="preserve">74).</w:t>
      </w:r>
      <w:r>
        <w:rPr>
          <w:b/>
          <w:u w:color="000000"/>
        </w:rPr>
        <w:t xml:space="preserve"> </w:t>
      </w:r>
      <w:r>
        <w:t xml:space="preserve">Het Comité adviseert met klem dat de Staten die partij zijn alle vormen van levenslange gevangenisstraf, met inbegrip van straffen voor onbepaalde duur, afschaffen voor alle strafbare feiten gepleegd door personen die jonger zijn dan 18 jaar op het moment van het plegen van het misdrijf.</w:t>
      </w:r>
    </w:p>
    <w:p w14:paraId="6A95ED1A" w14:textId="6DB26732" w:rsidR="004E782F" w:rsidRPr="000435F2" w:rsidRDefault="004E782F" w:rsidP="0075567E">
      <w:pPr>
        <w:pStyle w:val="H1G"/>
      </w:pPr>
      <w:r>
        <w:tab/>
      </w:r>
      <w:r>
        <w:t xml:space="preserve">F.</w:t>
        <w:tab/>
        <w:t xml:space="preserve">Vrijheidsberoving, met inbegrip van voorlopige hechtenis en opsluiting na het proces</w:t>
      </w:r>
    </w:p>
    <w:p w14:paraId="14B5E673" w14:textId="7D1E9241" w:rsidR="004E782F" w:rsidRDefault="00722FED" w:rsidP="002D64A9">
      <w:pPr>
        <w:pStyle w:val="SingleTxtG"/>
      </w:pPr>
      <w:r>
        <w:t xml:space="preserve">82.</w:t>
      </w:r>
      <w:r>
        <w:tab/>
      </w:r>
      <w:r>
        <w:t xml:space="preserve">Artikel 37 van het Verdrag bevat belangrijke beginselen voor de toepassing van vrijheidsberoving, de procedurele rechten van elk kind dat van zijn vrijheid is beroofd en bepalingen betreffende de behandeling van en de voorwaarden voor kinderen die van hun vrijheid zijn beroofd.</w:t>
      </w:r>
      <w:r>
        <w:t xml:space="preserve"> </w:t>
      </w:r>
      <w:r>
        <w:t xml:space="preserve">Het Comité vestigt de aandacht van de Staten die partij zijn op het verslag van 2018 van de speciale rapporteur over het recht van eenieder op een zo hoog mogelijk niveau van lichamelijke en geestelijke gezondheid, waarin de speciale rapporteur opmerkt dat de omvang en het belang van het leed van kinderen in detentie en gevangenschap vraagt om een wereldwijde inzet voor de afschaffing van kindergevangenissen en grote opvangcentra en meer investeringen in gemeenschapsvoorzieningen (A/HRC/38/36, par.</w:t>
      </w:r>
      <w:r>
        <w:t xml:space="preserve"> </w:t>
      </w:r>
      <w:r>
        <w:t xml:space="preserve">53).</w:t>
      </w:r>
    </w:p>
    <w:p w14:paraId="01F99C9D" w14:textId="766701D5" w:rsidR="003A394E" w:rsidRPr="002D64A9" w:rsidRDefault="00722FED" w:rsidP="002D64A9">
      <w:pPr>
        <w:pStyle w:val="SingleTxtG"/>
      </w:pPr>
      <w:r>
        <w:t xml:space="preserve">83.</w:t>
      </w:r>
      <w:r>
        <w:tab/>
      </w:r>
      <w:r>
        <w:t xml:space="preserve">De Staten die partij zijn, dienen onmiddellijk een proces in gang te zetten om het beroep op detentie tot een minimum te beperken.</w:t>
      </w:r>
    </w:p>
    <w:p w14:paraId="371F7F7A" w14:textId="18DDB8AF" w:rsidR="00BF366F" w:rsidRPr="003A394E" w:rsidRDefault="00722FED" w:rsidP="002D64A9">
      <w:pPr>
        <w:pStyle w:val="SingleTxtG"/>
      </w:pPr>
      <w:r>
        <w:t xml:space="preserve">84.</w:t>
      </w:r>
      <w:r>
        <w:tab/>
      </w:r>
      <w:r>
        <w:t xml:space="preserve">Niets in dit general comment mag worden geïnterpreteerd als het bevorderen of ondersteunen van het gebruik van vrijheidsberoving, maar eerder als het bieden van correcte procedures en voorwaarden in de minderheid van de gevallen waarin vrijheidsberoving noodzakelijk wordt geacht.</w:t>
      </w:r>
      <w:r>
        <w:t xml:space="preserve"> </w:t>
      </w:r>
    </w:p>
    <w:p w14:paraId="215681C0" w14:textId="1B945FE5" w:rsidR="004E782F" w:rsidRPr="000435F2" w:rsidRDefault="004E782F" w:rsidP="00702C9E">
      <w:pPr>
        <w:pStyle w:val="H23G"/>
      </w:pPr>
      <w:r>
        <w:tab/>
        <w:tab/>
        <w:tab/>
      </w:r>
      <w:r>
        <w:t xml:space="preserve">Belangrijkste principes</w:t>
      </w:r>
    </w:p>
    <w:p w14:paraId="6E35B359" w14:textId="77043E1B" w:rsidR="004E782F" w:rsidRPr="002D64A9" w:rsidRDefault="00722FED" w:rsidP="002D64A9">
      <w:pPr>
        <w:pStyle w:val="SingleTxtG"/>
      </w:pPr>
      <w:r>
        <w:t xml:space="preserve">85.</w:t>
      </w:r>
      <w:r>
        <w:tab/>
      </w:r>
      <w:r>
        <w:t xml:space="preserve">De belangrijkste principes voor het gebruik van vrijheidsberoving zijn:</w:t>
      </w:r>
      <w:r>
        <w:t xml:space="preserve"> </w:t>
      </w:r>
      <w:r>
        <w:t xml:space="preserve">(a) de aanhouding, detentie of gevangenschap van een kind mag alleen in overeenstemming met de wet worden gebruikt, uitsluitend als laatste redmiddel en voor de kortst mogelijke passende periode; en (b) geen enkel kind mag op onwettige of willekeurige wijze van zijn of haar vrijheid worden beroofd.</w:t>
      </w:r>
      <w:r>
        <w:t xml:space="preserve"> </w:t>
      </w:r>
      <w:r>
        <w:t xml:space="preserve">Aanhouding is vaak het beginpunt van voorlopige hechtenis en de Staten die partij zijn, dienen ervoor te zorgen, dat de wet de rechtshandhavingsambtenaren duidelijke verplichtingen oplegt om artikel 37 toe te passen in het kader van de aanhouding.</w:t>
      </w:r>
      <w:r>
        <w:t xml:space="preserve"> </w:t>
      </w:r>
      <w:r>
        <w:t xml:space="preserve">De Staten dienen er verder voor te zorgen, dat kinderen niet in vervoers- of in politiecellen worden vastgehouden, behalve als laatste redmiddel en voor de kortste periode, en dat zij niet met volwassenen worden vastgehouden, behalve wanneer dit in hun eigen belang is.</w:t>
      </w:r>
      <w:r>
        <w:t xml:space="preserve"> </w:t>
      </w:r>
      <w:r>
        <w:t xml:space="preserve">Mechanismen voor snelle vrijlating aan ouders of geschikte volwassenen dienen prioriteit te krijgen.</w:t>
      </w:r>
    </w:p>
    <w:p w14:paraId="1D2E420A" w14:textId="5477AF87" w:rsidR="004E782F" w:rsidRPr="002D64A9" w:rsidRDefault="00722FED" w:rsidP="002D64A9">
      <w:pPr>
        <w:pStyle w:val="SingleTxtG"/>
      </w:pPr>
      <w:r>
        <w:t xml:space="preserve">86.</w:t>
      </w:r>
      <w:r>
        <w:tab/>
      </w:r>
      <w:r>
        <w:t xml:space="preserve">Het Comité stelt met bezorgdheid vast, dat in veel landen kinderen maanden of zelfs jaren in voorlopige hechtenis wegkwijnen, wat een ernstige schending van artikel 37 (b) van het Verdrag vormt.</w:t>
      </w:r>
      <w:r>
        <w:t xml:space="preserve"> </w:t>
      </w:r>
      <w:r>
        <w:t xml:space="preserve">Voorlopige hechtenis mag alleen worden gebruikt in de ernstigste gevallen en dan nog alleen na zorgvuldige overweging van een terugkeer naar de gemeenschap.</w:t>
      </w:r>
      <w:r>
        <w:t xml:space="preserve"> </w:t>
      </w:r>
      <w:r>
        <w:t xml:space="preserve">Buitengerechtelijke afdoening in de fase van het vooronderzoek vermindert het gebruik van detentie, maar zelfs wanneer het kind in het kinderrechtsstelsel dient te worden berecht, dienen niet ter vrijheidsbeneming strekkende maatregelen zorgvuldig worden gericht op het beperken van het gebruik van voorlopige hechtenis.</w:t>
      </w:r>
      <w:r>
        <w:t xml:space="preserve"> </w:t>
      </w:r>
    </w:p>
    <w:p w14:paraId="12A831E8" w14:textId="1BE0F891" w:rsidR="004E782F" w:rsidRPr="000435F2" w:rsidRDefault="00722FED" w:rsidP="002D64A9">
      <w:pPr>
        <w:pStyle w:val="SingleTxtG"/>
      </w:pPr>
      <w:r>
        <w:t xml:space="preserve">87.</w:t>
      </w:r>
      <w:r>
        <w:tab/>
      </w:r>
      <w:r>
        <w:t xml:space="preserve">De wet dient duidelijk de criteria voor het gebruik van voorlopige hechtenis vast te leggen, in de eerste plaats om ervoor te zorgen, dat het kind voor de rechter verschijnt en als het kind een onmiddellijk gevaar voor anderen vormt.</w:t>
      </w:r>
      <w:r>
        <w:t xml:space="preserve"> </w:t>
      </w:r>
      <w:r>
        <w:t xml:space="preserve">Als het kind als een gevaar (voor zichzelf of voor anderen) wordt beschouwd, dienen er maatregelen ter bescherming van het kind te worden toegepast.</w:t>
      </w:r>
      <w:r>
        <w:t xml:space="preserve"> </w:t>
      </w:r>
      <w:r>
        <w:t xml:space="preserve">De voorlopige hechtenis dient regelmatig te worden herzien en de duur ervan dient bij wet te worden beperkt.</w:t>
      </w:r>
      <w:r>
        <w:t xml:space="preserve"> </w:t>
      </w:r>
      <w:r>
        <w:t xml:space="preserve">Alle actoren in het kinderrechtsstelsel dienen voorrang te geven aan zaken van kinderen in voorlopige hechtenis.</w:t>
      </w:r>
    </w:p>
    <w:p w14:paraId="598F5491" w14:textId="63B1BD59" w:rsidR="004E782F" w:rsidRPr="00971DF9" w:rsidDel="004957CC" w:rsidRDefault="00722FED" w:rsidP="002D64A9">
      <w:pPr>
        <w:pStyle w:val="SingleTxtG"/>
      </w:pPr>
      <w:r>
        <w:t xml:space="preserve">88.</w:t>
      </w:r>
      <w:r>
        <w:tab/>
      </w:r>
      <w:r>
        <w:t xml:space="preserve">Overeenkomstig het beginsel dat vrijheidsberoving voor de kortst mogelijke passende termijn dient te worden opgelegd, dienen de Staten die partij zijn regelmatig de mogelijkheid van vervroegde invrijheidstelling, met inbegrip van voorlopige hechtenis, onder de hoede van de ouders of andere geschikte volwassenen toe te staan.</w:t>
      </w:r>
      <w:r>
        <w:t xml:space="preserve"> </w:t>
      </w:r>
      <w:r>
        <w:t xml:space="preserve">Het dient mogelijk te zijn om naar eigen goeddunken het kind vrij te laten met of zonder voorwaarden, zoals het melden bij een bevoegde persoon of plaats.</w:t>
      </w:r>
      <w:r>
        <w:t xml:space="preserve"> </w:t>
      </w:r>
      <w:r>
        <w:t xml:space="preserve">De betaling van een borgtocht dient geen vereiste te zijn, omdat de meeste kinderen dit niet kunnen betalen en omdat het arme en gemarginaliseerde gezinnen discrimineert.</w:t>
      </w:r>
      <w:r>
        <w:t xml:space="preserve"> </w:t>
      </w:r>
      <w:r>
        <w:t xml:space="preserve">Bovendien betekent de borgtocht dat de rechtbank in beginsel erkent dat het kind vrijgelaten dient te worden en dat andere mechanismen kunnen worden gebruikt om de aanwezigheid van het kind te waarborgen.</w:t>
      </w:r>
    </w:p>
    <w:p w14:paraId="6AAC1CDC" w14:textId="5BB2914E" w:rsidR="004E782F" w:rsidRPr="007533D2" w:rsidRDefault="00F65676" w:rsidP="00702C9E">
      <w:pPr>
        <w:pStyle w:val="H23G"/>
      </w:pPr>
      <w:r>
        <w:tab/>
        <w:tab/>
        <w:tab/>
      </w:r>
      <w:r>
        <w:t xml:space="preserve">Procedurele rechten (art.</w:t>
      </w:r>
      <w:r>
        <w:t xml:space="preserve"> </w:t>
      </w:r>
      <w:r>
        <w:t xml:space="preserve">37 (d))</w:t>
      </w:r>
    </w:p>
    <w:p w14:paraId="7F7D3E2B" w14:textId="59CA3346" w:rsidR="004E782F" w:rsidRDefault="00722FED" w:rsidP="002D64A9">
      <w:pPr>
        <w:pStyle w:val="SingleTxtG"/>
      </w:pPr>
      <w:r>
        <w:t xml:space="preserve">89.</w:t>
      </w:r>
      <w:r>
        <w:tab/>
      </w:r>
      <w:r>
        <w:t xml:space="preserve">Ieder kind dat van zijn of haar vrijheid is beroofd heeft het recht onverwijld te beschikken over juridische en andere passende bijstand, alsmede het recht de wettigheid van zijn of haar vrijheidsberoving te betwisten ten overstaan van een rechter of een andere bevoegde, onafhankelijke en onpartijdige autoriteit, en op een onverwijlde beslissing ten aanzien van dat beroep.</w:t>
      </w:r>
      <w:r>
        <w:t xml:space="preserve"> </w:t>
      </w:r>
      <w:r>
        <w:t xml:space="preserve">Het Comité adviseert dat geen enkel kind van zijn vrijheid wordt beroofd, tenzij er sprake is van echte bezorgdheid over de openbare veiligheid of de volksgezondheid en moedigt de Staten die partij zijn aan een leeftijdsgrens vast te stellen waaronder kinderen wettelijk niet van hun vrijheid mogen worden beroofd, bijvoorbeeld 16 jaar oud.</w:t>
      </w:r>
    </w:p>
    <w:p w14:paraId="02C701F1" w14:textId="2EEB1886" w:rsidR="004E782F" w:rsidRPr="00393BD8" w:rsidRDefault="00722FED" w:rsidP="002D64A9">
      <w:pPr>
        <w:pStyle w:val="SingleTxtG"/>
      </w:pPr>
      <w:r>
        <w:t xml:space="preserve">90.</w:t>
      </w:r>
      <w:r>
        <w:tab/>
      </w:r>
      <w:r>
        <w:t xml:space="preserve">Elk kind dat wordt gearresteerd en van zijn of haar vrijheid wordt beroofd, dient binnen 24 uur voor een bevoegde autoriteit te worden gebracht om de rechtmatigheid van de vrijheidsberoving of de voortzetting ervan te onderzoeken.</w:t>
      </w:r>
      <w:r>
        <w:t xml:space="preserve"> </w:t>
      </w:r>
      <w:r>
        <w:t xml:space="preserve">Het Comité adviseert tevens dat de Staten die partij zijn ervoor zorgen, dat de voorlopige hechtenis regelmatig wordt herzien met het oog op de beëindiging ervan.</w:t>
      </w:r>
      <w:r>
        <w:t xml:space="preserve"> </w:t>
      </w:r>
      <w:r>
        <w:t xml:space="preserve">In gevallen waarin voorwaardelijke invrijheidstelling van het kind bij of voor de eerste verschijning (binnen 24 uur) niet mogelijk is, dient het kind formeel in staat van beschuldiging te worden gesteld en voor een rechtbank of een andere bevoegde, onafhankelijke en onpartijdige autoriteit of gerechtelijke instantie worden gebracht, zodat de zaak zo spoedig mogelijk, maar uiterlijk 30 dagen na de inwerkingtreding van de voorlopige hechtenis kan worden behandeld.</w:t>
      </w:r>
      <w:r>
        <w:t xml:space="preserve"> </w:t>
      </w:r>
      <w:r>
        <w:t xml:space="preserve">Het Comité is zich bewust van de praktijk om terechtzittingen vele malen en/of langdurig uit te stellen en dringt er bij de Staten die partij zijn op aan om maximumgrenzen voor het aantal en de duur van de opschortingen vast te stellen en wettelijke of bestuursrechtelijke bepalingen in te voeren om ervoor te zorgen, dat de rechter of een andere bevoegde instantie uiterlijk zes maanden na de aanvangsdatum van de detentie een definitieve beslissing over de tenlastelegging neemt, bij gebreke waarvan het kind in vrijheid dient te worden gesteld.</w:t>
      </w:r>
    </w:p>
    <w:p w14:paraId="27A23A04" w14:textId="242722A0" w:rsidR="004E782F" w:rsidRPr="000435F2" w:rsidRDefault="00722FED" w:rsidP="002D64A9">
      <w:pPr>
        <w:pStyle w:val="SingleTxtG"/>
      </w:pPr>
      <w:r>
        <w:t xml:space="preserve">91.</w:t>
      </w:r>
      <w:r>
        <w:tab/>
      </w:r>
      <w:r>
        <w:t xml:space="preserve">Het recht om de rechtmatigheid van de vrijheidsbeneming aan te vechten omvat niet alleen het recht om in beroep te gaan tegen beslissingen van de rechter, maar ook het recht om toegang te krijgen tot een rechter om een administratieve beslissing te toetsen (bijvoorbeeld genomen door de politie, openbare aanklager en andere bevoegde autoriteiten).</w:t>
      </w:r>
      <w:r>
        <w:t xml:space="preserve"> </w:t>
      </w:r>
      <w:r>
        <w:t xml:space="preserve">De Staten die partij zijn, dienen korte termijnen vast te stellen voor de afhandeling van beroepen en herzieningen om een snelle besluitvorming zoals vereist door het Verdrag te waarborgen.</w:t>
      </w:r>
    </w:p>
    <w:p w14:paraId="15987F87" w14:textId="68BE3F96" w:rsidR="004E782F" w:rsidRPr="000435F2" w:rsidRDefault="004E782F" w:rsidP="00702C9E">
      <w:pPr>
        <w:pStyle w:val="H23G"/>
      </w:pPr>
      <w:r>
        <w:tab/>
        <w:tab/>
      </w:r>
      <w:r>
        <w:t xml:space="preserve">Behandeling en omstandigheden (art.</w:t>
      </w:r>
      <w:r>
        <w:t xml:space="preserve"> </w:t>
      </w:r>
      <w:r>
        <w:t xml:space="preserve">37 (c))</w:t>
      </w:r>
    </w:p>
    <w:p w14:paraId="166120E2" w14:textId="4FBBD2AA" w:rsidR="004E782F" w:rsidRPr="002D64A9" w:rsidRDefault="00722FED" w:rsidP="002D64A9">
      <w:pPr>
        <w:pStyle w:val="SingleTxtG"/>
      </w:pPr>
      <w:r>
        <w:t xml:space="preserve">92.</w:t>
      </w:r>
      <w:r>
        <w:tab/>
      </w:r>
      <w:r>
        <w:t xml:space="preserve">Elk kind dat van zijn vrijheid wordt beroofd, dient te worden gescheiden van volwassenen, waaronder in politiecellen.</w:t>
      </w:r>
      <w:r>
        <w:t xml:space="preserve"> </w:t>
      </w:r>
      <w:r>
        <w:t xml:space="preserve">Een kind dat van zijn vrijheid wordt beroofd, mag niet in een centrum of gevangenis voor volwassenen worden geplaatst, aangezien er overvloedig bewijs is dat dit hun gezondheid en basisveiligheid en hun toekomstige vermogen om vrij van criminaliteit te blijven en te reïntegreren in gevaar brengt.</w:t>
      </w:r>
      <w:r>
        <w:t xml:space="preserve"> </w:t>
      </w:r>
      <w:r>
        <w:t xml:space="preserve">De toegestane uitzondering op de scheiding van kinderen en volwassenen die in artikel 37 (c) van het Verdrag wordt genoemd - “tenzij dit niet in het belang van het kind wordt geacht” - dient strikt te worden geïnterpreteerd en het gemak van de Staten die partij zijn, mag niet zwaarder wegen dan het belang van het kind.</w:t>
      </w:r>
      <w:r>
        <w:t xml:space="preserve"> </w:t>
      </w:r>
      <w:r>
        <w:t xml:space="preserve">De Staten die partij zijn, dienen afzonderlijke faciliteiten voor kinderen die van hun vrijheid zijn beroofd, op te zetten, die worden bemand door goed opgeleid personeel en die werken volgens kindvriendelijke beleidslijnen en praktijken.</w:t>
      </w:r>
    </w:p>
    <w:p w14:paraId="2737327A" w14:textId="4170EE9B" w:rsidR="004E782F" w:rsidRPr="002D64A9" w:rsidRDefault="00722FED" w:rsidP="002D64A9">
      <w:pPr>
        <w:pStyle w:val="SingleTxtG"/>
      </w:pPr>
      <w:r>
        <w:t xml:space="preserve">93.</w:t>
      </w:r>
      <w:r>
        <w:tab/>
      </w:r>
      <w:r>
        <w:t xml:space="preserve">De bovenstaande regel betekent niet dat een kind dat in een faciliteit voor kinderen wordt geplaatst, onmiddellijk na het bereiken van de leeftijd van 18 jaar naar een faciliteit voor volwassenen dient te worden overgebracht.</w:t>
      </w:r>
      <w:r>
        <w:t xml:space="preserve"> </w:t>
      </w:r>
      <w:r>
        <w:t xml:space="preserve">De voortzetting van zijn of haar verblijf in de faciliteit voor kinderen dient mogelijk te zijn als dat in zijn of haar belang is en niet in strijd is met het belang van de kinderen in de faciliteit.</w:t>
      </w:r>
    </w:p>
    <w:p w14:paraId="0B984AE4" w14:textId="272492DB" w:rsidR="004E782F" w:rsidRPr="002D64A9" w:rsidRDefault="00722FED" w:rsidP="002D64A9">
      <w:pPr>
        <w:pStyle w:val="SingleTxtG"/>
      </w:pPr>
      <w:r>
        <w:t xml:space="preserve">94.</w:t>
      </w:r>
      <w:r>
        <w:tab/>
      </w:r>
      <w:r>
        <w:t xml:space="preserve">Elk kind dat van zijn vrijheid is beroofd, heeft het recht om via correspondentie en bezoeken contact te onderhouden met zijn of haar familie.</w:t>
      </w:r>
      <w:r>
        <w:t xml:space="preserve"> </w:t>
      </w:r>
      <w:r>
        <w:t xml:space="preserve">Om het bezoek te vergemakkelijken dient het kind in een faciliteit te worden geplaatst die zo dicht mogelijk bij de woonplaats van zijn of haar familie ligt.</w:t>
      </w:r>
      <w:r>
        <w:t xml:space="preserve"> </w:t>
      </w:r>
      <w:r>
        <w:t xml:space="preserve">Uitzonderlijke omstandigheden die dit contact kunnen beperken, dienen duidelijk in de wet te worden beschreven en mogen niet aan het oordeel van de autoriteiten worden overgelaten.</w:t>
      </w:r>
    </w:p>
    <w:p w14:paraId="2D8C95ED" w14:textId="11D4726A" w:rsidR="004E782F" w:rsidRPr="000435F2" w:rsidRDefault="00722FED" w:rsidP="002D64A9">
      <w:pPr>
        <w:pStyle w:val="SingleTxtG"/>
      </w:pPr>
      <w:r>
        <w:t xml:space="preserve">95.</w:t>
      </w:r>
      <w:r>
        <w:tab/>
      </w:r>
      <w:r>
        <w:t xml:space="preserve">Het Comité benadrukt dat in alle gevallen van vrijheidsberoving onder meer de volgende beginselen en regels in acht dienen te worden genomen:</w:t>
      </w:r>
    </w:p>
    <w:p w14:paraId="05606CF5" w14:textId="68D2BB8A" w:rsidR="004E782F" w:rsidRPr="000435F2" w:rsidRDefault="00BA1E72" w:rsidP="0075567E">
      <w:pPr>
        <w:pStyle w:val="SingleTxtG"/>
        <w:ind w:firstLine="567"/>
      </w:pPr>
      <w:r>
        <w:t xml:space="preserve">a)</w:t>
        <w:tab/>
        <w:t xml:space="preserve">Geïsoleerde detentie is niet toegestaan voor personen jonger dan 18 jaar;</w:t>
      </w:r>
    </w:p>
    <w:p w14:paraId="5F40ADE5" w14:textId="6F717C78" w:rsidR="004E782F" w:rsidRPr="000435F2" w:rsidRDefault="00BA1E72" w:rsidP="0075567E">
      <w:pPr>
        <w:pStyle w:val="SingleTxtG"/>
        <w:ind w:firstLine="567"/>
      </w:pPr>
      <w:r>
        <w:t xml:space="preserve">b) </w:t>
        <w:tab/>
        <w:t xml:space="preserve">Kinderen moeten een fysieke omgeving en huisvesting krijgen die bevorderlijk zijn voor de reïntegratiedoelstellingen van residentiële plaatsing.</w:t>
      </w:r>
      <w:r>
        <w:t xml:space="preserve"> </w:t>
      </w:r>
      <w:r>
        <w:t xml:space="preserve">Er dient terdege rekening te worden gehouden met hun behoefte aan privacy, zintuiglijke prikkels en mogelijkheden om met hun leeftijdsgenoten om te gaan en deel te nemen aan sport, lichaamsbeweging, kunst en vrijetijdsactiviteiten;</w:t>
      </w:r>
    </w:p>
    <w:p w14:paraId="4F5C218D" w14:textId="3B8A7230" w:rsidR="004E782F" w:rsidRPr="000435F2" w:rsidRDefault="00BA1E72" w:rsidP="0075567E">
      <w:pPr>
        <w:pStyle w:val="SingleTxtG"/>
        <w:ind w:firstLine="567"/>
      </w:pPr>
      <w:r>
        <w:t xml:space="preserve">c) </w:t>
        <w:tab/>
        <w:t xml:space="preserve">Ieder kind heeft recht op onderwijs dat is afgestemd op zijn of haar behoeften en mogelijkheden, met inbegrip van het afleggen van examens, en dat erop gericht is het kind voor te bereiden op zijn of haar terugkeer in de samenleving; bovendien dient ieder kind in voorkomend geval een beroepsopleiding te volgen voor beroepen die hem of haar op een toekomstige baan kunnen voorbereiden;</w:t>
      </w:r>
    </w:p>
    <w:p w14:paraId="1C8005A0" w14:textId="6CC71A6E" w:rsidR="004E782F" w:rsidRPr="000435F2" w:rsidRDefault="00BA1E72" w:rsidP="0075567E">
      <w:pPr>
        <w:pStyle w:val="SingleTxtG"/>
        <w:ind w:firstLine="567"/>
      </w:pPr>
      <w:r>
        <w:t xml:space="preserve">(d)</w:t>
        <w:tab/>
        <w:t xml:space="preserve">Ieder kind heeft het recht om bij opname in de detentie- of penitentiaire inrichting door een arts of een gezondheidswerker te worden onderzocht en dient gedurende zijn of haar gehele verblijf in de inrichting adequate lichamelijke en geestelijke gezondheidszorg te ontvangen, die, waar mogelijk, door de gezondheidszorginstellingen en -diensten van de gemeenschap dient te worden verstrekt;</w:t>
      </w:r>
    </w:p>
    <w:p w14:paraId="76649813" w14:textId="1F0C8E59" w:rsidR="004E782F" w:rsidRPr="000435F2" w:rsidRDefault="00BA1E72" w:rsidP="0075567E">
      <w:pPr>
        <w:pStyle w:val="SingleTxtG"/>
        <w:ind w:firstLine="567"/>
      </w:pPr>
      <w:r>
        <w:t xml:space="preserve">(e)</w:t>
        <w:tab/>
        <w:t xml:space="preserve">Het personeel van de faciliteit dient frequent contact van het kind met de bredere gemeenschap te bevorderen en te vergemakkelijken, met inbegrip van communicatie met zijn of haar familie, vrienden en andere personen, met inbegrip van vertegenwoordigers van gerenommeerde externe organisaties, en de mogelijkheid om zijn of haar huis en familie te bezoeken.</w:t>
      </w:r>
      <w:r>
        <w:t xml:space="preserve"> </w:t>
      </w:r>
      <w:r>
        <w:t xml:space="preserve">Er mogen geen beperkingen worden gesteld aan het vermogen van het kind om vertrouwelijk en op elk moment met zijn of haar advocaat of andere hulpverlener te communiceren;</w:t>
      </w:r>
    </w:p>
    <w:p w14:paraId="0C2AFFA6" w14:textId="75294DAA" w:rsidR="004E782F" w:rsidRPr="000435F2" w:rsidRDefault="00BA1E72" w:rsidP="0075567E">
      <w:pPr>
        <w:pStyle w:val="SingleTxtG"/>
        <w:ind w:firstLine="567"/>
      </w:pPr>
      <w:r>
        <w:t xml:space="preserve">(f)</w:t>
        <w:tab/>
        <w:t xml:space="preserve">In bedwang houden of geweld kan alleen worden gebruikt wanneer het kind een onmiddellijke dreiging van verwonding van zichzelf of anderen inhoudt en alleen wanneer alle andere middelen om de controle over het kind uit te oefenen zijn uitgeput.</w:t>
      </w:r>
      <w:r>
        <w:t xml:space="preserve"> </w:t>
      </w:r>
      <w:r>
        <w:t xml:space="preserve">Bedwang mag niet worden gebruikt om de naleving te waarborgen en mag nooit gepaard gaan met het opzettelijk toebrengen van pijn.</w:t>
      </w:r>
      <w:r>
        <w:t xml:space="preserve"> </w:t>
      </w:r>
      <w:r>
        <w:t xml:space="preserve">Het mag nooit worden gebruikt als strafmaatregel.</w:t>
      </w:r>
      <w:r>
        <w:t xml:space="preserve"> </w:t>
      </w:r>
      <w:r>
        <w:t xml:space="preserve">Het gebruik van dwangmaatregelen of geweld, met inbegrip van fysieke, mechanische en medische of farmacologische dwangmaatregelen, dient onder nauwlettende, directe en voortdurende controle van een medische en/of psychologische deskundige te staan.</w:t>
      </w:r>
      <w:r>
        <w:t xml:space="preserve"> </w:t>
      </w:r>
      <w:r>
        <w:t xml:space="preserve">Het personeel van de faciliteit dient een opleiding te krijgen over de toepasselijke normen en personeelsleden die in strijd met de regels en normen dwang of geweld gebruiken, dienen naar behoren te worden gestraft.</w:t>
      </w:r>
      <w:r>
        <w:t xml:space="preserve"> </w:t>
      </w:r>
      <w:r>
        <w:t xml:space="preserve">De Staten dienen alle gevallen van dwangmaatregelen of het gebruik van geweld te registreren, controleren en evalueren en ervoor zorgen dat deze tot een minimum worden beperkt;</w:t>
      </w:r>
    </w:p>
    <w:p w14:paraId="689E48C3" w14:textId="121ABCEE" w:rsidR="004E782F" w:rsidRDefault="00BA1E72" w:rsidP="0075567E">
      <w:pPr>
        <w:pStyle w:val="SingleTxtG"/>
        <w:ind w:firstLine="567"/>
      </w:pPr>
      <w:r>
        <w:t xml:space="preserve">(g)</w:t>
        <w:tab/>
        <w:t xml:space="preserve">Elke disciplinaire maatregel dient verenigbaar te zijn met het behoud van de inherente waardigheid van het kind en de fundamentele doelstellingen van de institutionele zorg.</w:t>
      </w:r>
      <w:r>
        <w:t xml:space="preserve"> </w:t>
      </w:r>
      <w:r>
        <w:t xml:space="preserve">Disciplinaire maatregelen in strijd met artikel 37 van het Verdrag dienen ten strengste verboden te zijn, met inbegrip van lijfstraffen, plaatsing in een donkere cel, eenzame opsluiting of enige andere straf die de lichamelijke of geestelijke gezondheid of het welzijn van het kind in kwestie in gevaar kan brengen en disciplinaire maatregelen mogen kinderen niet beroven van hun fundamentele rechten, zoals bezoeken door een wettelijke vertegenwoordiger, contact met het gezin, voedsel, water, kleding, beddengoed, onderwijs, lichaamsbeweging of zinvol dagelijks contact met anderen;</w:t>
      </w:r>
    </w:p>
    <w:p w14:paraId="1B5A494B" w14:textId="651482EC" w:rsidR="004E782F" w:rsidRPr="000435F2" w:rsidRDefault="00BA1E72" w:rsidP="0075567E">
      <w:pPr>
        <w:pStyle w:val="SingleTxtG"/>
        <w:ind w:firstLine="567"/>
      </w:pPr>
      <w:r>
        <w:t xml:space="preserve">(h)</w:t>
        <w:tab/>
        <w:t xml:space="preserve">Eenzame opsluiting mag niet worden gebruikt voor een kind.</w:t>
      </w:r>
      <w:r>
        <w:t xml:space="preserve"> </w:t>
      </w:r>
      <w:r>
        <w:t xml:space="preserve">Een eventuele scheiding van het kind van anderen dient zo kort mogelijk te duren en mag alleen worden gebruikt als laatste redmiddel voor de bescherming van het kind of anderen.</w:t>
      </w:r>
      <w:r>
        <w:t xml:space="preserve"> </w:t>
      </w:r>
      <w:r>
        <w:t xml:space="preserve">Wanneer het nodig wordt geacht een kind apart te houden, dient dit te gebeuren in aanwezigheid of onder nauwlettend toezicht van een naar behoren opgeleid personeelslid en dienen de redenen en de duur van de afzondering te worden geregistreerd;</w:t>
      </w:r>
    </w:p>
    <w:p w14:paraId="71BA7DA9" w14:textId="5EEF7E03" w:rsidR="004E782F" w:rsidRDefault="00BA1E72" w:rsidP="0075567E">
      <w:pPr>
        <w:pStyle w:val="SingleTxtG"/>
        <w:ind w:firstLine="567"/>
      </w:pPr>
      <w:r>
        <w:t xml:space="preserve">(i)</w:t>
        <w:tab/>
        <w:t xml:space="preserve">Ieder kind dient het recht te hebben om zonder inhoudelijke censuur verzoeken of klachten in te dienen bij de centrale overheid, de rechterlijke instantie of een andere passende onafhankelijke autoriteit en onverwijld van de reactie daarop in kennis te worden gesteld.</w:t>
      </w:r>
      <w:r>
        <w:t xml:space="preserve"> </w:t>
      </w:r>
      <w:r>
        <w:t xml:space="preserve">Kinderen dienen hun rechten te kennen en dienen op de hoogte te zijn van en gemakkelijk toegang te hebben tot de mechanismen voor het indienen van aanvragen en het indienen van klachten;</w:t>
      </w:r>
    </w:p>
    <w:p w14:paraId="1A73BE2C" w14:textId="24C2109C" w:rsidR="004E782F" w:rsidRDefault="00BA1E72" w:rsidP="0075567E">
      <w:pPr>
        <w:pStyle w:val="SingleTxtG"/>
        <w:ind w:firstLine="567"/>
      </w:pPr>
      <w:r>
        <w:t xml:space="preserve">(j)</w:t>
        <w:tab/>
        <w:t xml:space="preserve">Onafhankelijke en gekwalificeerde inspecteurs dienen bevoegd te zijn om regelmatig inspecties uit te voeren en op eigen initiatief onaangekondigde inspecties uit te voeren; zij dienen bijzondere nadruk te leggen op het voeren van gesprekken met kinderen in de faciliteiten, in een vertrouwelijke omgeving;</w:t>
      </w:r>
    </w:p>
    <w:p w14:paraId="65536889" w14:textId="6B8A8888" w:rsidR="004E782F" w:rsidRPr="000435F2" w:rsidRDefault="00BA1E72" w:rsidP="0075567E">
      <w:pPr>
        <w:pStyle w:val="SingleTxtG"/>
        <w:ind w:firstLine="567"/>
      </w:pPr>
      <w:r>
        <w:t xml:space="preserve">(k) </w:t>
        <w:tab/>
        <w:t xml:space="preserve">De Staten die partij zijn, dienen ervoor te zorgen, dat er geen stimulansen zijn om kinderen hun vrijheid te ontnemen en geen mogelijkheden tot corruptie bij de plaatsing, levering van goederen en diensten of het contact met het gezin.</w:t>
      </w:r>
    </w:p>
    <w:p w14:paraId="4BDE45B5" w14:textId="77777777" w:rsidR="004E782F" w:rsidRPr="000435F2" w:rsidRDefault="004E782F" w:rsidP="00702C9E">
      <w:pPr>
        <w:pStyle w:val="H1G"/>
      </w:pPr>
      <w:r>
        <w:tab/>
      </w:r>
      <w:r>
        <w:t xml:space="preserve">G.</w:t>
        <w:tab/>
        <w:t xml:space="preserve">Specifieke kwesties</w:t>
      </w:r>
    </w:p>
    <w:p w14:paraId="292506D9" w14:textId="08ADD3F7" w:rsidR="004E782F" w:rsidRDefault="004E782F" w:rsidP="00702C9E">
      <w:pPr>
        <w:pStyle w:val="H23G"/>
      </w:pPr>
      <w:r>
        <w:tab/>
        <w:tab/>
        <w:tab/>
      </w:r>
      <w:r>
        <w:t xml:space="preserve">Militaire rechtbanken en rechtbanken voor de staatsveiligheid</w:t>
      </w:r>
      <w:r>
        <w:t xml:space="preserve"> </w:t>
      </w:r>
    </w:p>
    <w:p w14:paraId="6F45E425" w14:textId="0FA97091" w:rsidR="00451025" w:rsidRDefault="00722FED" w:rsidP="002D64A9">
      <w:pPr>
        <w:pStyle w:val="SingleTxtG"/>
      </w:pPr>
      <w:r>
        <w:t xml:space="preserve">96.</w:t>
      </w:r>
      <w:r>
        <w:tab/>
      </w:r>
      <w:r>
        <w:t xml:space="preserve">Er is een nieuwe opvatting ontstaan dat processen van burgers door militaire rechtbanken en staatsveiligheidsrechtbanken in strijd zijn met het niet-opschortbare recht op een eerlijk proces door een bevoegde, onafhankelijke en onpartijdige rechtbank.</w:t>
      </w:r>
      <w:r>
        <w:t xml:space="preserve"> </w:t>
      </w:r>
      <w:r>
        <w:t xml:space="preserve">Dit is een zelfs nog zorgwekkendere schending van de rechten van kinderen, die altijd in gespecialiseerde kinderrechtssystemen dienen te worden behandeld.</w:t>
      </w:r>
      <w:r>
        <w:t xml:space="preserve"> </w:t>
      </w:r>
      <w:r>
        <w:t xml:space="preserve">Het Comité heeft hier in een aantal slotopmerkingen zijn bezorgdheid over geuit.</w:t>
      </w:r>
    </w:p>
    <w:p w14:paraId="526367AF" w14:textId="748A83DF" w:rsidR="004E782F" w:rsidRPr="000435F2" w:rsidRDefault="00702C9E" w:rsidP="00702C9E">
      <w:pPr>
        <w:pStyle w:val="H23G"/>
      </w:pPr>
      <w:r>
        <w:tab/>
        <w:tab/>
      </w:r>
      <w:r>
        <w:t xml:space="preserve">Kinderen die worden gerekruteerd en gebruikt door niet-gouvernementele gewapende groepen, met inbegrip van die welke als terroristische groepering zijn aangewezen, en kinderen die in een context van terrorismebestrijding worden beschuldigd</w:t>
      </w:r>
    </w:p>
    <w:p w14:paraId="4A8D866E" w14:textId="3F95681D" w:rsidR="004E782F" w:rsidRPr="002D64A9" w:rsidRDefault="00722FED" w:rsidP="002D64A9">
      <w:pPr>
        <w:pStyle w:val="SingleTxtG"/>
      </w:pPr>
      <w:r>
        <w:t xml:space="preserve">97.</w:t>
      </w:r>
      <w:r>
        <w:tab/>
      </w:r>
      <w:r>
        <w:t xml:space="preserve">De Verenigde Naties hebben talrijke gevallen van rekrutering en uitbuiting van kinderen door niet-gouvernementele bewapende groepen, met inbegrip van die welke als terroristische groeperingen zijn aangewezen, onderzocht, niet alleen in conflictgebieden, maar ook in niet-conflictgebieden, met inbegrip van de landen van herkomst van de kinderen en de landen van doorreis of terugkeer.</w:t>
      </w:r>
      <w:r>
        <w:t xml:space="preserve"> </w:t>
      </w:r>
    </w:p>
    <w:p w14:paraId="326B0C58" w14:textId="0E9B002E" w:rsidR="004E782F" w:rsidRPr="002D64A9" w:rsidRDefault="00722FED" w:rsidP="002D64A9">
      <w:pPr>
        <w:pStyle w:val="SingleTxtG"/>
      </w:pPr>
      <w:r>
        <w:t xml:space="preserve">98.</w:t>
      </w:r>
      <w:r>
        <w:tab/>
      </w:r>
      <w:r>
        <w:t xml:space="preserve">Wanneer zij onder controle van dergelijke groepen staan, kunnen kinderen het slachtoffer worden van verschillende vormen van schendingen, zoals rekrutering; militaire training; inzet bij vijandelijkheden en/of terroristische acties, waaronder zelfmoordaanslagen; gedwongen worden tot het uitvoeren van executies; gebruikt worden als menselijk schild; ontvoering; verkoop; mensenhandel; seksuele uitbuiting; kinderhuwelijken; gebruikt worden voor het vervoer of de verkoop van drugs; of uitgebuit worden om gevaarlijke taken uit te voeren, zoals spionage, toezicht, bewaking van controleposten, patrouilles of transport van militair materieel.</w:t>
      </w:r>
      <w:r>
        <w:t xml:space="preserve"> </w:t>
      </w:r>
      <w:r>
        <w:t xml:space="preserve">Naar verluidt worden kinderen ook door niet-gouvernementele gewapende groeperingen en groeperingen die als terroristische groeperingen zijn aangewezen, gedwongen om geweld te plegen tegen hun eigen familie of binnen hun eigen gemeenschap om loyaliteit te tonen en om toekomstig overlopen te ontmoedigen.</w:t>
      </w:r>
    </w:p>
    <w:p w14:paraId="4FC55267" w14:textId="60DDB0B9" w:rsidR="004E782F" w:rsidRPr="000435F2" w:rsidRDefault="00722FED" w:rsidP="002D64A9">
      <w:pPr>
        <w:pStyle w:val="SingleTxtG"/>
      </w:pPr>
      <w:r>
        <w:t xml:space="preserve">99.</w:t>
      </w:r>
      <w:r>
        <w:tab/>
      </w:r>
      <w:r>
        <w:t xml:space="preserve">De autoriteiten van de Staten die partij zijn, worden geconfronteerd met een aantal uitdagingen bij de behandeling van deze kinderen.</w:t>
      </w:r>
      <w:r>
        <w:t xml:space="preserve"> </w:t>
      </w:r>
      <w:r>
        <w:t xml:space="preserve">Sommige Staten die partij zijn, hebben gekozen voor een strafbenadering zonder of met beperkte aandacht voor de rechten van het kind, hetgeen blijvende gevolgen heeft voor de ontwikkeling van het kind en een negatief effect heeft op de mogelijkheden voor sociale reïntegratie, wat op zijn beurt ernstige gevolgen kan hebben voor de bredere samenleving.</w:t>
      </w:r>
      <w:r>
        <w:t xml:space="preserve"> </w:t>
      </w:r>
      <w:r>
        <w:t xml:space="preserve">Vaak worden deze kinderen gearresteerd, opgesloten, vervolgd en berecht voor hun daden in conflictgebieden en, in mindere mate, ook in hun land van herkomst of terugkeer.</w:t>
      </w:r>
      <w:r>
        <w:t xml:space="preserve"> </w:t>
      </w:r>
    </w:p>
    <w:p w14:paraId="5FF7095D" w14:textId="522B602F" w:rsidR="004E782F" w:rsidRPr="002D64A9" w:rsidRDefault="00722FED" w:rsidP="002D64A9">
      <w:pPr>
        <w:pStyle w:val="SingleTxtG"/>
      </w:pPr>
      <w:r>
        <w:t xml:space="preserve">100.</w:t>
      </w:r>
      <w:r>
        <w:tab/>
      </w:r>
      <w:r>
        <w:t xml:space="preserve">Het Comité vestigt de aandacht van de Staten die partij zijn op Resolutie 2427 (2018) van de Veiligheidsraad.</w:t>
      </w:r>
      <w:r>
        <w:t xml:space="preserve"> </w:t>
      </w:r>
      <w:r>
        <w:t xml:space="preserve">In de resolutie beklemtoonde de Raad de noodzaak om standaardwerkwijzen vast te stellen voor de snelle overdracht van kinderen die betrokken zijn bij of naar verluidt geassocieerd worden met alle niet-gouvernementele gewapende groepen, met inbegrip van die welke die terreurdaden hebben gepleegd, aan de betrokken civiele actoren op het gebied van kinderbescherming.</w:t>
      </w:r>
      <w:r>
        <w:t xml:space="preserve"> </w:t>
      </w:r>
      <w:r>
        <w:t xml:space="preserve">De Raad benadrukte dat kinderen die in strijd met het toepasselijke internationale recht door strijdkrachten en gewapende groeperingen zijn gerekruteerd en ervan worden beschuldigd tijdens gewapende conflicten misdaden te hebben begaan, in de eerste plaats dienen te worden behandeld als slachtoffers van schendingen van het internationale recht.</w:t>
      </w:r>
      <w:r>
        <w:t xml:space="preserve"> </w:t>
      </w:r>
      <w:r>
        <w:t xml:space="preserve">De Raad drong er tevens bij de Staten die partij zijn op aan buitengerechtelijke maatregelen te overwegen als alternatieven voor vervolging en detentie die gericht zijn op reïntegratie en riep hen op een behoorlijke rechtsgang toe te passen voor alle kinderen die worden vastgehouden wegens associatie met de strijdkrachten en gewapende groepen.</w:t>
      </w:r>
    </w:p>
    <w:p w14:paraId="232F2DB9" w14:textId="7D55DD4C" w:rsidR="004E782F" w:rsidRDefault="00722FED" w:rsidP="002D64A9">
      <w:pPr>
        <w:pStyle w:val="SingleTxtG"/>
      </w:pPr>
      <w:r>
        <w:t xml:space="preserve">101.</w:t>
      </w:r>
      <w:r>
        <w:tab/>
      </w:r>
      <w:r>
        <w:t xml:space="preserve">De Staten die partij zijn, dienen ervoor te zorgen, dat alle kinderen die van strafbare feiten worden beschuldigd, ongeacht de ernst of de context, worden behandeld in de zin van de artikelen 37 en 40 van het Verdrag, en dienen zich te onthouden van het aanklagen en vervolgen van kinderen die worden beschuldigd van het uiten van hun mening of van het louter in verband brengen met een niet-gouvernementele bewapende groepering, met inbegrip van die welke als terroristische groepering zijn aangewezen.</w:t>
      </w:r>
      <w:r>
        <w:t xml:space="preserve"> </w:t>
      </w:r>
      <w:r>
        <w:t xml:space="preserve">In overeenstemming met paragraaf 88 van zijn general comment nr. 20 beveelt het Comité voorts aan dat de Staten die partij zijn, preventieve maatregelen nemen om sociale factoren en onderliggende oorzaken aan te pakken, alsook maatregelen voor sociale reïntegratie, ook in het kader van de uitvoering van de resoluties van de Veiligheidsraad met betrekking tot terrorismebestrijding, zoals resoluties 1373 (2001), 2178 (2014), 2396 (2017) en 2427 (2018), en resolutie 72/284 van de Algemene Vergadering van de Verenigde Naties, in het bijzonder de in paragraaf 18 opgenomen aanbevelingen.</w:t>
      </w:r>
      <w:r>
        <w:rPr>
          <w:highlight w:val="yellow"/>
          <w:vertAlign w:val="superscript"/>
        </w:rPr>
        <w:t xml:space="preserve"> </w:t>
      </w:r>
    </w:p>
    <w:p w14:paraId="63F9CC20" w14:textId="3DF7BFCB" w:rsidR="004E782F" w:rsidRPr="006F789A" w:rsidRDefault="00702C9E" w:rsidP="00702C9E">
      <w:pPr>
        <w:pStyle w:val="H23G"/>
      </w:pPr>
      <w:r>
        <w:tab/>
        <w:tab/>
      </w:r>
      <w:r>
        <w:t xml:space="preserve">Gewoonterechtelijke, inheemse en niet-gouvernementele vormen van rechtvaardigheid</w:t>
      </w:r>
    </w:p>
    <w:p w14:paraId="0118D121" w14:textId="6485B266" w:rsidR="004E782F" w:rsidRPr="002D64A9" w:rsidRDefault="00722FED" w:rsidP="002D64A9">
      <w:pPr>
        <w:pStyle w:val="SingleTxtG"/>
      </w:pPr>
      <w:r>
        <w:t xml:space="preserve">102.</w:t>
      </w:r>
      <w:r>
        <w:tab/>
      </w:r>
      <w:r>
        <w:t xml:space="preserve">Veel kinderen komen in aanraking met meervoudige rechtssystemen die parallel aan of in de marge van het formele rechtssysteem functioneren.</w:t>
      </w:r>
      <w:r>
        <w:t xml:space="preserve"> </w:t>
      </w:r>
      <w:r>
        <w:t xml:space="preserve">Dit kunnen gewoonterechtelijke, tribale, inheemse of andere rechtssystemen zijn.</w:t>
      </w:r>
      <w:r>
        <w:t xml:space="preserve"> </w:t>
      </w:r>
      <w:r>
        <w:t xml:space="preserve">Zij kunnen toegankelijker zijn dan de formele mechanismen en hebben het voordeel dat zij snel en relatief goedkoop antwoorden kunnen voorstellen die zijn afgestemd op de specifieke culturele kenmerken.</w:t>
      </w:r>
      <w:r>
        <w:t xml:space="preserve"> </w:t>
      </w:r>
      <w:r>
        <w:t xml:space="preserve">Dergelijke systemen kunnen dienen als alternatief voor officiële procedures tegen kinderen en kunnen een positieve bijdrage leveren aan de verandering van de culturele opvattingen over kinderen en recht.</w:t>
      </w:r>
      <w:r>
        <w:t xml:space="preserve"> </w:t>
      </w:r>
    </w:p>
    <w:p w14:paraId="301B88E0" w14:textId="2A07F247" w:rsidR="004E782F" w:rsidRPr="002D64A9" w:rsidRDefault="00722FED" w:rsidP="002D64A9">
      <w:pPr>
        <w:pStyle w:val="SingleTxtG"/>
      </w:pPr>
      <w:r>
        <w:t xml:space="preserve">103.</w:t>
      </w:r>
      <w:r>
        <w:tab/>
      </w:r>
      <w:r>
        <w:t xml:space="preserve">Men is het er steeds meer over eens, dat bij de hervorming van de programma's voor de justitiële sector aandacht dient te worden besteed aan dergelijke systemen.</w:t>
      </w:r>
      <w:r>
        <w:t xml:space="preserve"> </w:t>
      </w:r>
      <w:r>
        <w:t xml:space="preserve">Gezien de mogelijke spanningen tussen de overheid en niet-gouvernementele rechtspraak, naast de bezorgdheid over de procedurele rechten en het risico van discriminatie of marginalisering, dienen de hervormingen gefaseerd te worden doorgevoerd, met een methodologie die een volledig begrip van de betrokken vergelijkende systemen omvat en die aanvaardbaar is voor alle belanghebbenden.</w:t>
      </w:r>
      <w:r>
        <w:t xml:space="preserve"> </w:t>
      </w:r>
      <w:r>
        <w:t xml:space="preserve">De procedures en resultaten van het gewoonterecht dienen in overeenstemming te worden gebracht met het staatsrecht en met de wettelijke en procedurele waarborgen.</w:t>
      </w:r>
      <w:r>
        <w:t xml:space="preserve"> </w:t>
      </w:r>
      <w:r>
        <w:t xml:space="preserve">Het is belangrijk dat er geen sprake is van oneerlijke discriminatie als kinderen die soortgelijke misdrijven plegen in parallelle systemen of fora anders worden behandeld.</w:t>
      </w:r>
    </w:p>
    <w:p w14:paraId="2B5EC175" w14:textId="58D25E2A" w:rsidR="004E782F" w:rsidRPr="000435F2" w:rsidRDefault="00722FED" w:rsidP="002D64A9">
      <w:pPr>
        <w:pStyle w:val="SingleTxtG"/>
      </w:pPr>
      <w:r>
        <w:t xml:space="preserve">104.</w:t>
      </w:r>
      <w:r>
        <w:tab/>
      </w:r>
      <w:r>
        <w:t xml:space="preserve">De beginselen van het Verdrag dienen te worden opgenomen in alle rechtsmechanismen die betrekking hebben op kinderen, en de Staten die partij zijn, dienen ervoor te zorgen, dat het Verdrag bekend is en ten uitvoer wordt gebracht.</w:t>
      </w:r>
      <w:r>
        <w:t xml:space="preserve"> </w:t>
      </w:r>
      <w:r>
        <w:t xml:space="preserve">Maatregelen op het gebied van het herstelrecht zijn vaak haalbaar via de gewoonterechtelijke, inheemse of andere niet-gouvernementele rechtsstelsels en kunnen leermogelijkheden bieden voor het formele kinderrechtsstelsel.</w:t>
      </w:r>
      <w:r>
        <w:t xml:space="preserve"> </w:t>
      </w:r>
      <w:r>
        <w:t xml:space="preserve">Bovendien kan de erkenning van dergelijke rechtsstelsels bijdragen tot meer respect voor de tradities van inheemse samenlevingen, wat voordelen kan hebben voor inheemse kinderen.</w:t>
      </w:r>
      <w:r>
        <w:t xml:space="preserve"> </w:t>
      </w:r>
      <w:r>
        <w:t xml:space="preserve">Interventies, strategieën en hervormingen dienen te worden ontworpen voor specifieke contexten en het proces dient te worden gestuurd door nationale actoren.</w:t>
      </w:r>
    </w:p>
    <w:p w14:paraId="6D3080CD" w14:textId="77C147FE" w:rsidR="004E782F" w:rsidRPr="000435F2" w:rsidRDefault="004E782F" w:rsidP="00702C9E">
      <w:pPr>
        <w:pStyle w:val="HChG"/>
      </w:pPr>
      <w:r>
        <w:tab/>
      </w:r>
      <w:r>
        <w:t xml:space="preserve">V.</w:t>
        <w:tab/>
        <w:t xml:space="preserve">Organisatie van het kinderrechtsstelsel</w:t>
      </w:r>
    </w:p>
    <w:p w14:paraId="78CA321E" w14:textId="43E3985A" w:rsidR="004E782F" w:rsidRPr="002D64A9" w:rsidRDefault="00722FED" w:rsidP="002D64A9">
      <w:pPr>
        <w:pStyle w:val="SingleTxtG"/>
      </w:pPr>
      <w:r>
        <w:t xml:space="preserve">105.</w:t>
      </w:r>
      <w:r>
        <w:tab/>
      </w:r>
      <w:r>
        <w:t xml:space="preserve">Om de volledige tenuitvoerlegging van de in de voorgaande alinea's uiteengezette beginselen en rechten te waarborgen, dient een doeltreffende organisatie voor het beheer van het kinderrecht te worden opgezet.</w:t>
      </w:r>
    </w:p>
    <w:p w14:paraId="71760448" w14:textId="4CF3C9F1" w:rsidR="004E782F" w:rsidRPr="002D64A9" w:rsidRDefault="00722FED" w:rsidP="002D64A9">
      <w:pPr>
        <w:pStyle w:val="SingleTxtG"/>
      </w:pPr>
      <w:r>
        <w:t xml:space="preserve">106.</w:t>
      </w:r>
      <w:r>
        <w:tab/>
      </w:r>
      <w:r>
        <w:t xml:space="preserve">Een alomvattend kinderrechtsstelsel vereist de oprichting van gespecialiseerde eenheden binnen de politie, de rechterlijke macht, het gerechtelijk apparaat en het openbaar ministerie, alsmede gespecialiseerde verdedigers of andere vertegenwoordigers die juridische of andere passende bijstand aan het kind verlenen.</w:t>
      </w:r>
    </w:p>
    <w:p w14:paraId="578F2A20" w14:textId="627AEF6D" w:rsidR="004E782F" w:rsidRPr="002D64A9" w:rsidRDefault="00722FED" w:rsidP="002D64A9">
      <w:pPr>
        <w:pStyle w:val="SingleTxtG"/>
      </w:pPr>
      <w:r>
        <w:t xml:space="preserve">107.</w:t>
      </w:r>
      <w:r>
        <w:tab/>
      </w:r>
      <w:r>
        <w:t xml:space="preserve">Het Comité raadt de Staten die partij zijn aan kinderrechtbanken op te richten als afzonderlijke eenheden of als onderdeel van bestaande rechtbanken.</w:t>
      </w:r>
      <w:r>
        <w:t xml:space="preserve"> </w:t>
      </w:r>
      <w:r>
        <w:t xml:space="preserve">Wanneer dat om praktische redenen niet mogelijk is, dienen de Staten die partij zijn, te zorgen voor de benoeming van gespecialiseerde rechters voor de behandeling van zaken betreffende kinderrechtspraak.</w:t>
      </w:r>
    </w:p>
    <w:p w14:paraId="21BD3411" w14:textId="10B2EDCD" w:rsidR="001D4691" w:rsidRPr="002D64A9" w:rsidRDefault="00722FED" w:rsidP="002D64A9">
      <w:pPr>
        <w:pStyle w:val="SingleTxtG"/>
      </w:pPr>
      <w:r>
        <w:t xml:space="preserve">108.</w:t>
      </w:r>
      <w:r>
        <w:tab/>
      </w:r>
      <w:r>
        <w:t xml:space="preserve">Gespecialiseerde diensten zoals proeftijd, counseling of toezicht dienen samen met gespecialiseerde voorzieningen te worden opgezet, bijvoorbeeld dagbehandelingscentra en, waar nodig, kleinschalige voorzieningen voor residentiële zorg en behandeling van kinderen die door het kinderrechtssysteem worden doorverwezen.</w:t>
      </w:r>
      <w:r>
        <w:t xml:space="preserve"> </w:t>
      </w:r>
      <w:r>
        <w:t xml:space="preserve">Een doeltreffende, onderlinge coördinatie van de activiteiten van al deze gespecialiseerde eenheden, diensten en faciliteiten dient voortdurend te worden bevorderd.</w:t>
      </w:r>
      <w:r>
        <w:t xml:space="preserve"> </w:t>
      </w:r>
    </w:p>
    <w:p w14:paraId="2A500417" w14:textId="41275A20" w:rsidR="004E782F" w:rsidRPr="002D64A9" w:rsidRDefault="00722FED" w:rsidP="002D64A9">
      <w:pPr>
        <w:pStyle w:val="SingleTxtG"/>
      </w:pPr>
      <w:r>
        <w:t xml:space="preserve">109.</w:t>
      </w:r>
      <w:r>
        <w:tab/>
      </w:r>
      <w:r>
        <w:t xml:space="preserve">Daarnaast worden individuele beoordelingen van kinderen en een multidisciplinaire aanpak aangemoedigd.</w:t>
      </w:r>
      <w:r>
        <w:t xml:space="preserve"> </w:t>
      </w:r>
      <w:r>
        <w:t xml:space="preserve">Bijzondere aandacht dient te worden besteed aan gespecialiseerde maatschappelijke diensten voor kinderen die jonger zijn dan de leeftijd waarop zij strafrechtelijk aansprakelijk zijn, maar waarvan wordt geoordeeld dat zij steun nodig hebben.</w:t>
      </w:r>
    </w:p>
    <w:p w14:paraId="5AB9A080" w14:textId="1DB95777" w:rsidR="004E782F" w:rsidRPr="000435F2" w:rsidRDefault="00722FED" w:rsidP="002D64A9">
      <w:pPr>
        <w:pStyle w:val="SingleTxtG"/>
      </w:pPr>
      <w:r>
        <w:t xml:space="preserve">110.</w:t>
      </w:r>
      <w:r>
        <w:tab/>
      </w:r>
      <w:r>
        <w:t xml:space="preserve">Niet-gouvernementele organisaties kunnen een belangrijke rol spelen in het kinderrecht en doen dat ook.</w:t>
      </w:r>
      <w:r>
        <w:t xml:space="preserve"> </w:t>
      </w:r>
      <w:r>
        <w:t xml:space="preserve">Het Comité adviseert dan ook dat de Staten die partij zijn de actieve betrokkenheid van dergelijke organisaties bij de ontwikkeling en uitvoering van hun alomvattende beleid inzake kinderrecht nastreven en hen, waar nodig, de benodigde middelen ter beschikking stellen voor deze betrokkenheid.</w:t>
      </w:r>
    </w:p>
    <w:p w14:paraId="1E4F268B" w14:textId="6A5D41E6" w:rsidR="004E782F" w:rsidRPr="000435F2" w:rsidRDefault="004E782F" w:rsidP="00702C9E">
      <w:pPr>
        <w:pStyle w:val="HChG"/>
      </w:pPr>
      <w:r>
        <w:tab/>
      </w:r>
      <w:r>
        <w:t xml:space="preserve">VI.</w:t>
      </w:r>
      <w:r>
        <w:tab/>
      </w:r>
      <w:r>
        <w:t xml:space="preserve">Bewustmaking en opleiding</w:t>
      </w:r>
    </w:p>
    <w:p w14:paraId="5D866661" w14:textId="3208DC8D" w:rsidR="004E782F" w:rsidRPr="002D64A9" w:rsidRDefault="00722FED" w:rsidP="002D64A9">
      <w:pPr>
        <w:pStyle w:val="SingleTxtG"/>
      </w:pPr>
      <w:r>
        <w:t xml:space="preserve">111.</w:t>
      </w:r>
      <w:r>
        <w:tab/>
      </w:r>
      <w:r>
        <w:t xml:space="preserve">Kinderen die delicten plegen, worden vaak het slachtoffer van negatieve media-aandacht, wat bijdraagt tot een discriminerende en negatieve stereotypering van die kinderen.</w:t>
      </w:r>
      <w:r>
        <w:t xml:space="preserve"> </w:t>
      </w:r>
      <w:r>
        <w:t xml:space="preserve">Deze negatieve presentatie of criminalisering van kinderen is vaak gebaseerd op een verkeerde voorstelling van en/of misverstand over de oorzaken van criminaliteit en leidt regelmatig tot oproepen tot strengere benaderingen (zero-tolerance en ‘three strikes’-benaderingen, verplichte straffen, processen voor volwassen rechtbanken en andere voornamelijk strafmaatregelen).</w:t>
      </w:r>
      <w:r>
        <w:t xml:space="preserve"> </w:t>
      </w:r>
      <w:r>
        <w:t xml:space="preserve">De Staten die partij zijn, dienen te streven naar de actieve en positieve betrokkenheid van parlementsleden, niet-gouvernementele organisaties en de media om onderwijs en andere campagnes te bevorderen en te ondersteunen om ervoor te zorgen, dat alle aspecten van het Verdrag worden gehandhaafd voor kinderen die zich in het kinderrechtsstelsel bevinden.</w:t>
      </w:r>
      <w:r>
        <w:t xml:space="preserve"> </w:t>
      </w:r>
      <w:r>
        <w:t xml:space="preserve">Het is van essentieel belang dat kinderen, met name kinderen die ervaring hebben met het kinderrechtsstelsel, bij deze bewustmakingsinspanningen worden betrokken.</w:t>
      </w:r>
    </w:p>
    <w:p w14:paraId="5BA9ACEA" w14:textId="31F4D718" w:rsidR="00F83862" w:rsidRPr="00867A04" w:rsidRDefault="00722FED" w:rsidP="002D64A9">
      <w:pPr>
        <w:pStyle w:val="SingleTxtG"/>
      </w:pPr>
      <w:r>
        <w:t xml:space="preserve">112.</w:t>
      </w:r>
      <w:r>
        <w:tab/>
      </w:r>
      <w:r>
        <w:t xml:space="preserve">Voor de kwaliteit van het kinderrecht is van cruciaal belang dat alle betrokken professionals een passende multidisciplinaire opleiding krijgen over de inhoud en de betekenis van het Verdrag.</w:t>
      </w:r>
      <w:r>
        <w:t xml:space="preserve"> </w:t>
      </w:r>
      <w:r>
        <w:t xml:space="preserve">De opleiding dient systematisch en doorlopend te zijn en mag niet beperkt blijven tot informatie over de relevante nationale en internationale wettelijke bepalingen.</w:t>
      </w:r>
      <w:r>
        <w:t xml:space="preserve"> </w:t>
      </w:r>
      <w:r>
        <w:t xml:space="preserve">De opleiding dient bestaande en nieuwe informatie te omvatten over onder meer de sociale en andere oorzaken van criminaliteit, de sociale en psychologische ontwikkeling van kinderen, met inbegrip van de huidige bevindingen van de neurowetenschappen, verschillen die kunnen leiden tot discriminatie van bepaalde gemarginaliseerde groepen, zoals kinderen die tot minderheden of inheemse volkeren behoren, de cultuur en tendensen in de wereld van jongeren, de dynamiek van groepsactiviteiten en de beschikbare maatregelen voor buitengerechtelijke afdoening en niet tot vrijheidsbeneming strekkende maatregelen, in het bijzonder maatregelen om te voorkomen dat gerechtelijke procedures worden ingesteld.</w:t>
      </w:r>
      <w:r>
        <w:t xml:space="preserve"> </w:t>
      </w:r>
      <w:r>
        <w:t xml:space="preserve">Er dient ook te worden nagedacht over het mogelijke gebruik van nieuwe technologieën zoals ’rechtbankzittingen’ via video, en er dient rekening te worden gehouden met de risico's van andere technologieën, zoals DNA-profilering.</w:t>
      </w:r>
      <w:r>
        <w:t xml:space="preserve"> </w:t>
      </w:r>
      <w:r>
        <w:t xml:space="preserve">Er dient een constante herwaardering plaats te vinden van wat werkt.</w:t>
      </w:r>
    </w:p>
    <w:p w14:paraId="49CA786F" w14:textId="18EC8E03" w:rsidR="004E782F" w:rsidRPr="008B6BC1" w:rsidRDefault="002D64A9" w:rsidP="00702C9E">
      <w:pPr>
        <w:pStyle w:val="HChG"/>
      </w:pPr>
      <w:r>
        <w:tab/>
      </w:r>
      <w:r>
        <w:t xml:space="preserve">VII.</w:t>
      </w:r>
      <w:r>
        <w:tab/>
      </w:r>
      <w:r>
        <w:t xml:space="preserve">Gegevensverzameling, evaluatie en onderzoek</w:t>
      </w:r>
    </w:p>
    <w:p w14:paraId="777B0DDE" w14:textId="160A989D" w:rsidR="004E782F" w:rsidRPr="002D64A9" w:rsidRDefault="00722FED" w:rsidP="002D64A9">
      <w:pPr>
        <w:pStyle w:val="SingleTxtG"/>
      </w:pPr>
      <w:r>
        <w:t xml:space="preserve">113.</w:t>
      </w:r>
      <w:r>
        <w:tab/>
      </w:r>
      <w:r>
        <w:t xml:space="preserve">Het Comité dringt er bij de Staten die partij zijn op aan om systematisch uitgesplitste gegevens te verzamelen, onder meer over het aantal en de aard van de door kinderen gepleegde delicten, het gebruik en de gemiddelde duur van de voorlopige hechtenis, het aantal kinderen die te maken krijgen met andere maatregelen dan gerechtelijke procedures (buitengerechtelijke afdoening), het aantal veroordeelde kinderen, de aard van de hen opgelegde sancties en het aantal kinderen dat van hun vrijheid wordt beroofd.</w:t>
      </w:r>
      <w:r>
        <w:t xml:space="preserve"> </w:t>
      </w:r>
    </w:p>
    <w:p w14:paraId="46CFEBCB" w14:textId="2F8D75A9" w:rsidR="004E782F" w:rsidRPr="002D64A9" w:rsidRDefault="00722FED" w:rsidP="002D64A9">
      <w:pPr>
        <w:pStyle w:val="SingleTxtG"/>
      </w:pPr>
      <w:r>
        <w:t xml:space="preserve">114.</w:t>
      </w:r>
      <w:r>
        <w:tab/>
      </w:r>
      <w:r>
        <w:t xml:space="preserve">Het Comité beveelt de Staten die partij zijn aan om hun kinderrechtsstelsels regelmatig te evalueren, met name wat de doeltreffendheid van de genomen maatregelen betreft, en met betrekking tot zaken als discriminatie, reïntegratie en overtredingspatronen, bij voorkeur uitgevoerd door onafhankelijke academische instellingen.</w:t>
      </w:r>
    </w:p>
    <w:p w14:paraId="3195A530" w14:textId="2FB88C23" w:rsidR="004E782F" w:rsidRDefault="00722FED" w:rsidP="002D64A9">
      <w:pPr>
        <w:pStyle w:val="SingleTxtG"/>
      </w:pPr>
      <w:r>
        <w:t xml:space="preserve">115.</w:t>
      </w:r>
      <w:r>
        <w:tab/>
      </w:r>
      <w:r>
        <w:t xml:space="preserve">Het is belangrijk dat kinderen bij deze evaluatie en dit onderzoek worden betrokken, met name de kinderen die contact hebben of hebben gehad met het systeem, en dat evaluatie en onderzoek worden uitgevoerd in overeenstemming met de bestaande internationale richtlijnen inzake de betrokkenheid van kinderen bij onderzoek.</w:t>
      </w:r>
    </w:p>
    <w:p w14:paraId="62A35E70" w14:textId="0009412C" w:rsidR="00A46CD4" w:rsidRPr="0075567E" w:rsidRDefault="00A46CD4" w:rsidP="0075567E">
      <w:pPr>
        <w:pStyle w:val="SingleTxtG"/>
        <w:spacing w:before="240" w:after="0"/>
        <w:jc w:val="center"/>
        <w:rPr>
          <w:u w:val="single"/>
        </w:rPr>
      </w:pPr>
      <w:r>
        <w:rPr>
          <w:u w:val="single"/>
        </w:rPr>
        <w:tab/>
        <w:tab/>
        <w:tab/>
        <w:tab/>
      </w:r>
    </w:p>
    <w:p w14:paraId="0B7C802B" w14:textId="5AB0562D" w:rsidR="00702C9E" w:rsidRPr="000435F2" w:rsidRDefault="00702C9E" w:rsidP="0075567E">
      <w:pPr>
        <w:pStyle w:val="SingleTxtG"/>
        <w:rPr>
          <w:lang w:val="en-US"/>
        </w:rPr>
      </w:pPr>
    </w:p>
    <w:sectPr w:rsidR="00702C9E" w:rsidRPr="000435F2" w:rsidSect="004E782F">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AD39" w14:textId="77777777" w:rsidR="00F156C1" w:rsidRDefault="00F156C1"/>
  </w:endnote>
  <w:endnote w:type="continuationSeparator" w:id="0">
    <w:p w14:paraId="06F54965" w14:textId="77777777" w:rsidR="00F156C1" w:rsidRDefault="00F156C1"/>
  </w:endnote>
  <w:endnote w:type="continuationNotice" w:id="1">
    <w:p w14:paraId="1ACE2E07" w14:textId="77777777" w:rsidR="00F156C1" w:rsidRDefault="00F1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1B9F" w14:textId="14506B84" w:rsidR="00F156C1" w:rsidRPr="004E782F" w:rsidRDefault="00F156C1" w:rsidP="004E782F">
    <w:pPr>
      <w:pStyle w:val="Voettekst"/>
      <w:tabs>
        <w:tab w:val="right" w:pos="9638"/>
      </w:tabs>
      <w:rPr>
        <w:sz w:val="18"/>
      </w:rPr>
    </w:pPr>
    <w:r w:rsidRPr="004E782F">
      <w:rPr>
        <w:b/>
        <w:sz w:val="18"/>
      </w:rPr>
      <w:fldChar w:fldCharType="begin"/>
    </w:r>
    <w:r w:rsidRPr="004E782F">
      <w:rPr>
        <w:b/>
        <w:sz w:val="18"/>
      </w:rPr>
      <w:instrText xml:space="preserve"> PAGE  \* MERGEFORMAT </w:instrText>
    </w:r>
    <w:r w:rsidRPr="004E782F">
      <w:rPr>
        <w:b/>
        <w:sz w:val="18"/>
      </w:rPr>
      <w:fldChar w:fldCharType="separate"/>
    </w:r>
    <w:r w:rsidR="002832C4">
      <w:rPr>
        <w:b/>
        <w:sz w:val="18"/>
      </w:rPr>
      <w:t>18</w:t>
    </w:r>
    <w:r w:rsidRPr="004E782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A3CC" w14:textId="71CA5A0D" w:rsidR="00F156C1" w:rsidRPr="004E782F" w:rsidRDefault="00F156C1" w:rsidP="004E782F">
    <w:pPr>
      <w:pStyle w:val="Voettekst"/>
      <w:tabs>
        <w:tab w:val="right" w:pos="9638"/>
      </w:tabs>
      <w:rPr>
        <w:b/>
        <w:sz w:val="18"/>
      </w:rPr>
    </w:pPr>
    <w:r>
      <w:tab/>
    </w:r>
    <w:r w:rsidRPr="004E782F">
      <w:rPr>
        <w:b/>
        <w:sz w:val="18"/>
      </w:rPr>
      <w:fldChar w:fldCharType="begin"/>
    </w:r>
    <w:r w:rsidRPr="004E782F">
      <w:rPr>
        <w:b/>
        <w:sz w:val="18"/>
      </w:rPr>
      <w:instrText xml:space="preserve"> PAGE  \* MERGEFORMAT </w:instrText>
    </w:r>
    <w:r w:rsidRPr="004E782F">
      <w:rPr>
        <w:b/>
        <w:sz w:val="18"/>
      </w:rPr>
      <w:fldChar w:fldCharType="separate"/>
    </w:r>
    <w:r w:rsidR="002832C4">
      <w:rPr>
        <w:b/>
        <w:sz w:val="18"/>
      </w:rPr>
      <w:t>19</w:t>
    </w:r>
    <w:r w:rsidRPr="004E782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4C2A" w14:textId="629B88E4" w:rsidR="001C4719" w:rsidRPr="001C4719" w:rsidRDefault="001C4719" w:rsidP="001C4719">
    <w:pPr>
      <w:pStyle w:val="Voettekst"/>
      <w:tabs>
        <w:tab w:val="right" w:pos="9638"/>
      </w:tabs>
      <w:rPr>
        <w:bCs/>
        <w:sz w:val="18"/>
      </w:rPr>
    </w:pPr>
    <w:r>
      <w:drawing>
        <wp:anchor distT="0" distB="0" distL="114300" distR="114300" simplePos="0" relativeHeight="251659264" behindDoc="1" locked="1" layoutInCell="1" allowOverlap="1" wp14:anchorId="778ECB0C" wp14:editId="3C10799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54DCE702" w14:textId="77777777" w:rsidR="001C4719" w:rsidRPr="001C4719" w:rsidRDefault="001C4719" w:rsidP="001C4719">
    <w:pPr>
      <w:pStyle w:val="Voettekst"/>
      <w:tabs>
        <w:tab w:val="right" w:pos="9638"/>
      </w:tabs>
      <w:ind w:right="1134"/>
      <w:rPr>
        <w:bCs/>
        <w:sz w:val="20"/>
      </w:rPr>
    </w:pPr>
    <w:r>
      <w:rPr>
        <w:bCs/>
        <w:sz w:val="20"/>
      </w:rPr>
      <w:t xml:space="preserve">GE.19-15961(E)</w:t>
    </w:r>
  </w:p>
  <w:p w14:paraId="39972C64" w14:textId="77777777" w:rsidR="001C4719" w:rsidRPr="001C4719" w:rsidRDefault="001C4719" w:rsidP="001C4719">
    <w:pPr>
      <w:pStyle w:val="Voettekst"/>
      <w:tabs>
        <w:tab w:val="right" w:pos="9638"/>
      </w:tabs>
      <w:ind w:right="1134"/>
      <w:rPr>
        <w:bCs/>
        <w:sz w:val="56"/>
        <w:rFonts w:ascii="C39T30Lfz" w:hAnsi="C39T30Lfz"/>
      </w:rPr>
    </w:pPr>
    <w:r>
      <w:rPr>
        <w:bCs/>
        <w:sz w:val="56"/>
        <w:rFonts w:ascii="C39T30Lfz" w:hAnsi="C39T30Lfz"/>
      </w:rPr>
      <w:t xml:space="preserve"></w:t>
    </w:r>
    <w:r>
      <w:drawing>
        <wp:anchor distT="0" distB="0" distL="114300" distR="114300" simplePos="0" relativeHeight="251660288" behindDoc="0" locked="0" layoutInCell="1" allowOverlap="1" wp14:anchorId="5F150419" wp14:editId="444B0B0C">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C/C/GC/2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GC/2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2651" w14:textId="77777777" w:rsidR="00F156C1" w:rsidRPr="000B175B" w:rsidRDefault="00F156C1" w:rsidP="000B175B">
      <w:pPr>
        <w:tabs>
          <w:tab w:val="right" w:pos="2155"/>
        </w:tabs>
        <w:spacing w:after="80"/>
        <w:ind w:left="680"/>
        <w:rPr>
          <w:u w:val="single"/>
        </w:rPr>
      </w:pPr>
      <w:r>
        <w:rPr>
          <w:u w:val="single"/>
        </w:rPr>
        <w:tab/>
      </w:r>
    </w:p>
  </w:footnote>
  <w:footnote w:type="continuationSeparator" w:id="0">
    <w:p w14:paraId="0046FEB9" w14:textId="77777777" w:rsidR="00F156C1" w:rsidRPr="00FC68B7" w:rsidRDefault="00F156C1" w:rsidP="00FC68B7">
      <w:pPr>
        <w:tabs>
          <w:tab w:val="left" w:pos="2155"/>
        </w:tabs>
        <w:spacing w:after="80"/>
        <w:ind w:left="680"/>
        <w:rPr>
          <w:u w:val="single"/>
        </w:rPr>
      </w:pPr>
      <w:r>
        <w:rPr>
          <w:u w:val="single"/>
        </w:rPr>
        <w:tab/>
      </w:r>
    </w:p>
  </w:footnote>
  <w:footnote w:type="continuationNotice" w:id="1">
    <w:p w14:paraId="1AA36673" w14:textId="77777777" w:rsidR="00F156C1" w:rsidRDefault="00F156C1"/>
  </w:footnote>
  <w:footnote w:id="2">
    <w:p w14:paraId="46CE2F08" w14:textId="67066272" w:rsidR="00F156C1" w:rsidRPr="00596A3F" w:rsidRDefault="00F156C1" w:rsidP="008D002F">
      <w:pPr>
        <w:pStyle w:val="Voetnoottekst"/>
      </w:pPr>
      <w:r>
        <w:tab/>
      </w:r>
      <w:r>
        <w:rPr>
          <w:rStyle w:val="Voetnootmarkering"/>
        </w:rPr>
        <w:footnoteRef/>
      </w:r>
      <w:r>
        <w:tab/>
        <w:t xml:space="preserve">In de Engelse versie van dit general comment wordt de term "child justice system" (kinderrechtsstelsel) gebruikt in plaats van "juvenile justice” (jeugdrechtspraak).</w:t>
      </w:r>
    </w:p>
  </w:footnote>
  <w:footnote w:id="3">
    <w:p w14:paraId="64562D04" w14:textId="3CA66AC1" w:rsidR="00F156C1" w:rsidRPr="00596A3F" w:rsidRDefault="00F156C1" w:rsidP="00596A3F">
      <w:pPr>
        <w:pStyle w:val="Voetnoottekst"/>
      </w:pPr>
      <w:r>
        <w:tab/>
      </w:r>
      <w:r>
        <w:rPr>
          <w:rStyle w:val="Voetnootmarkering"/>
        </w:rPr>
        <w:footnoteRef/>
      </w:r>
      <w:r>
        <w:tab/>
        <w:t xml:space="preserve">Regels van de Verenigde Naties voor de Bescherming van Jongeren die van hun Vrijheid zijn beroofd (Havana-regels), art.</w:t>
      </w:r>
      <w:r>
        <w:t xml:space="preserve"> </w:t>
      </w:r>
      <w:r>
        <w:t xml:space="preserve">11 (b).</w:t>
      </w:r>
    </w:p>
  </w:footnote>
  <w:footnote w:id="4">
    <w:p w14:paraId="7272358F" w14:textId="5E11372D" w:rsidR="00F156C1" w:rsidRPr="00596A3F" w:rsidRDefault="00F156C1" w:rsidP="00596A3F">
      <w:pPr>
        <w:pStyle w:val="Voetnoottekst"/>
      </w:pPr>
      <w:r>
        <w:tab/>
      </w:r>
      <w:r>
        <w:rPr>
          <w:rStyle w:val="Voetnootmarkering"/>
        </w:rPr>
        <w:footnoteRef/>
      </w:r>
      <w:r>
        <w:tab/>
        <w:t xml:space="preserve">Basisbeginselen voor het gebruik van programma's voor herstelrecht in strafzaken, paragraaf</w:t>
      </w:r>
      <w:r>
        <w:t xml:space="preserve"> </w:t>
      </w:r>
      <w:r>
        <w:t xml:space="preserve">2.</w:t>
      </w:r>
    </w:p>
  </w:footnote>
  <w:footnote w:id="5">
    <w:p w14:paraId="287C654E" w14:textId="3D5EC7DC" w:rsidR="00F156C1" w:rsidRPr="0075567E" w:rsidRDefault="00F156C1">
      <w:pPr>
        <w:pStyle w:val="Voetnoottekst"/>
      </w:pPr>
      <w:r>
        <w:tab/>
      </w:r>
      <w:r>
        <w:rPr>
          <w:rStyle w:val="Voetnootmarkering"/>
        </w:rPr>
        <w:footnoteRef/>
      </w:r>
      <w:r>
        <w:tab/>
        <w:t xml:space="preserve">Zie ook deel IV.E hieronder.</w:t>
      </w:r>
    </w:p>
  </w:footnote>
  <w:footnote w:id="6">
    <w:p w14:paraId="7545843D" w14:textId="74DB7EDB" w:rsidR="00F156C1" w:rsidRPr="00822E41" w:rsidRDefault="00F156C1">
      <w:pPr>
        <w:pStyle w:val="Voetnoottekst"/>
      </w:pPr>
      <w:r>
        <w:tab/>
      </w:r>
      <w:r>
        <w:rPr>
          <w:rStyle w:val="Voetnootmarkering"/>
        </w:rPr>
        <w:footnoteRef/>
      </w:r>
      <w:r>
        <w:tab/>
        <w:t xml:space="preserve">Resolutie 25/6 van de Mensenrechtenraad.</w:t>
      </w:r>
      <w:r>
        <w:t xml:space="preserve"> </w:t>
      </w:r>
    </w:p>
  </w:footnote>
  <w:footnote w:id="7">
    <w:p w14:paraId="2C2E0871" w14:textId="1B3E3AB4" w:rsidR="00F156C1" w:rsidRPr="0075567E" w:rsidRDefault="00F156C1">
      <w:pPr>
        <w:pStyle w:val="Voetnoottekst"/>
      </w:pPr>
      <w:r>
        <w:tab/>
      </w:r>
      <w:r>
        <w:rPr>
          <w:rStyle w:val="Voetnootmarkering"/>
        </w:rPr>
        <w:footnoteRef/>
      </w:r>
      <w:r>
        <w:tab/>
        <w:t xml:space="preserve">Zie ook deel IV.B hierboven.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F63E" w14:textId="2CD4A288" w:rsidR="00F156C1" w:rsidRPr="004E782F" w:rsidRDefault="00F156C1">
    <w:pPr>
      <w:pStyle w:val="Koptekst"/>
    </w:pPr>
    <w:r>
      <w:fldChar w:fldCharType="begin" w:dirty="true"/>
    </w:r>
    <w:r>
      <w:rPr>
        <w:b w:val="0"/>
      </w:rPr>
      <w:instrText xml:space="preserve"> TITLE  \* MERGEFORMAT </w:instrText>
    </w:r>
    <w:r>
      <w:fldChar w:fldCharType="separate"/>
    </w:r>
    <w:r w:rsidR="00EB6EA1" w:rsidRPr="00EB6EA1">
      <w:t>CRC/C/GC/24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B0BE" w14:textId="6F1C3EB7" w:rsidR="00F156C1" w:rsidRPr="004E782F" w:rsidRDefault="00F156C1" w:rsidP="004E782F">
    <w:pPr>
      <w:pStyle w:val="Koptekst"/>
      <w:jc w:val="right"/>
    </w:pPr>
    <w:r>
      <w:fldChar w:fldCharType="begin" w:dirty="true"/>
    </w:r>
    <w:r>
      <w:rPr>
        <w:b w:val="0"/>
      </w:rPr>
      <w:instrText xml:space="preserve"> TITLE  \* MERGEFORMAT </w:instrText>
    </w:r>
    <w:r>
      <w:fldChar w:fldCharType="separate"/>
    </w:r>
    <w:r w:rsidR="00EB6EA1" w:rsidRPr="00EB6EA1">
      <w:t>CRC/C/GC/24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E6DEA"/>
    <w:multiLevelType w:val="hybridMultilevel"/>
    <w:tmpl w:val="0BDC6B48"/>
    <w:lvl w:ilvl="0" w:tplc="183E41CC">
      <w:start w:val="1"/>
      <w:numFmt w:val="bullet"/>
      <w:lvlText w:val=""/>
      <w:lvlJc w:val="left"/>
      <w:pPr>
        <w:ind w:left="720" w:hanging="360"/>
      </w:pPr>
      <w:rPr>
        <w:rFonts w:ascii="Symbol" w:hAnsi="Symbol" w:hint="default"/>
        <w:color w:val="auto"/>
        <w:sz w:val="24"/>
        <w:szCs w:val="24"/>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04461394"/>
    <w:multiLevelType w:val="hybridMultilevel"/>
    <w:tmpl w:val="E9727690"/>
    <w:lvl w:ilvl="0" w:tplc="8A22B636">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6E3514A"/>
    <w:multiLevelType w:val="hybridMultilevel"/>
    <w:tmpl w:val="F10AABAE"/>
    <w:lvl w:ilvl="0" w:tplc="A83EC848">
      <w:start w:val="1"/>
      <w:numFmt w:val="decimal"/>
      <w:lvlText w:val="%1."/>
      <w:lvlJc w:val="left"/>
      <w:pPr>
        <w:ind w:left="1637" w:hanging="360"/>
      </w:pPr>
      <w:rPr>
        <w:vertAlign w:val="baseline"/>
        <w:lang w:val="en-GB"/>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5419DB"/>
    <w:multiLevelType w:val="hybridMultilevel"/>
    <w:tmpl w:val="4B3C9338"/>
    <w:lvl w:ilvl="0" w:tplc="A29247FE">
      <w:start w:val="8"/>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114942F3"/>
    <w:multiLevelType w:val="hybridMultilevel"/>
    <w:tmpl w:val="E40073AC"/>
    <w:lvl w:ilvl="0" w:tplc="7D524E28">
      <w:start w:val="7"/>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7" w15:restartNumberingAfterBreak="0">
    <w:nsid w:val="23424148"/>
    <w:multiLevelType w:val="hybridMultilevel"/>
    <w:tmpl w:val="8BDCECD4"/>
    <w:lvl w:ilvl="0" w:tplc="0809000F">
      <w:start w:val="1"/>
      <w:numFmt w:val="decimal"/>
      <w:lvlText w:val="%1."/>
      <w:lvlJc w:val="left"/>
      <w:pPr>
        <w:ind w:left="1920"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78A0770"/>
    <w:multiLevelType w:val="hybridMultilevel"/>
    <w:tmpl w:val="3A8C963E"/>
    <w:lvl w:ilvl="0" w:tplc="6D329192">
      <w:start w:val="1"/>
      <w:numFmt w:val="lowerLetter"/>
      <w:lvlText w:val="(%1)"/>
      <w:lvlJc w:val="left"/>
      <w:pPr>
        <w:ind w:left="1997" w:hanging="360"/>
      </w:pPr>
      <w:rPr>
        <w:rFonts w:ascii="Times New Roman" w:eastAsia="Times New Roman" w:hAnsi="Times New Roman" w:cs="Times New Roman"/>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9" w15:restartNumberingAfterBreak="0">
    <w:nsid w:val="2B27227B"/>
    <w:multiLevelType w:val="hybridMultilevel"/>
    <w:tmpl w:val="AE209F38"/>
    <w:lvl w:ilvl="0" w:tplc="81B442A2">
      <w:start w:val="13"/>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0" w15:restartNumberingAfterBreak="0">
    <w:nsid w:val="2BD40E56"/>
    <w:multiLevelType w:val="hybridMultilevel"/>
    <w:tmpl w:val="5276F818"/>
    <w:lvl w:ilvl="0" w:tplc="7A3EFC12">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17567"/>
    <w:multiLevelType w:val="hybridMultilevel"/>
    <w:tmpl w:val="9168A5B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 w15:restartNumberingAfterBreak="0">
    <w:nsid w:val="324D64E2"/>
    <w:multiLevelType w:val="hybridMultilevel"/>
    <w:tmpl w:val="0706B9B2"/>
    <w:lvl w:ilvl="0" w:tplc="08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5B05E7"/>
    <w:multiLevelType w:val="hybridMultilevel"/>
    <w:tmpl w:val="B9C8D750"/>
    <w:lvl w:ilvl="0" w:tplc="9C40AFDA">
      <w:start w:val="126"/>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6187ACE"/>
    <w:multiLevelType w:val="hybridMultilevel"/>
    <w:tmpl w:val="6ADA90E6"/>
    <w:lvl w:ilvl="0" w:tplc="B6EE59B8">
      <w:start w:val="5"/>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364413C5"/>
    <w:multiLevelType w:val="hybridMultilevel"/>
    <w:tmpl w:val="DB84D666"/>
    <w:lvl w:ilvl="0" w:tplc="4F3AEE1A">
      <w:start w:val="2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67E2F1A"/>
    <w:multiLevelType w:val="hybridMultilevel"/>
    <w:tmpl w:val="B4D4B862"/>
    <w:lvl w:ilvl="0" w:tplc="7A3EFC12">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74743"/>
    <w:multiLevelType w:val="hybridMultilevel"/>
    <w:tmpl w:val="0548F700"/>
    <w:lvl w:ilvl="0" w:tplc="A83EC848">
      <w:start w:val="1"/>
      <w:numFmt w:val="decimal"/>
      <w:lvlText w:val="%1."/>
      <w:lvlJc w:val="left"/>
      <w:pPr>
        <w:ind w:left="1495" w:hanging="360"/>
      </w:pPr>
      <w:rPr>
        <w:vertAlign w:val="baseline"/>
        <w:lang w:val="en-GB"/>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CD02899"/>
    <w:multiLevelType w:val="hybridMultilevel"/>
    <w:tmpl w:val="5972D602"/>
    <w:lvl w:ilvl="0" w:tplc="0809000F">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9" w15:restartNumberingAfterBreak="0">
    <w:nsid w:val="44616D7A"/>
    <w:multiLevelType w:val="hybridMultilevel"/>
    <w:tmpl w:val="CCE8695C"/>
    <w:lvl w:ilvl="0" w:tplc="DB420D3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477C279D"/>
    <w:multiLevelType w:val="hybridMultilevel"/>
    <w:tmpl w:val="601A4F5A"/>
    <w:lvl w:ilvl="0" w:tplc="7AE67044">
      <w:start w:val="22"/>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1" w15:restartNumberingAfterBreak="0">
    <w:nsid w:val="4EBD5E07"/>
    <w:multiLevelType w:val="hybridMultilevel"/>
    <w:tmpl w:val="461AE174"/>
    <w:lvl w:ilvl="0" w:tplc="9058FEE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32C12C6"/>
    <w:multiLevelType w:val="hybridMultilevel"/>
    <w:tmpl w:val="C3CE6A18"/>
    <w:lvl w:ilvl="0" w:tplc="0809000F">
      <w:start w:val="1"/>
      <w:numFmt w:val="decimal"/>
      <w:lvlText w:val="%1."/>
      <w:lvlJc w:val="left"/>
      <w:pPr>
        <w:ind w:left="1637" w:hanging="360"/>
      </w:pPr>
      <w:rPr>
        <w:vertAlign w:val="baseline"/>
        <w:lang w:val="en-GB"/>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87B41C5"/>
    <w:multiLevelType w:val="hybridMultilevel"/>
    <w:tmpl w:val="4ED0F070"/>
    <w:lvl w:ilvl="0" w:tplc="9D3C8BCA">
      <w:start w:val="109"/>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A790E99"/>
    <w:multiLevelType w:val="hybridMultilevel"/>
    <w:tmpl w:val="1476600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FC95E82"/>
    <w:multiLevelType w:val="hybridMultilevel"/>
    <w:tmpl w:val="B48A90DE"/>
    <w:lvl w:ilvl="0" w:tplc="32EAA1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099099C"/>
    <w:multiLevelType w:val="hybridMultilevel"/>
    <w:tmpl w:val="721404D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0DA5B13"/>
    <w:multiLevelType w:val="hybridMultilevel"/>
    <w:tmpl w:val="24461CC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61A54D65"/>
    <w:multiLevelType w:val="hybridMultilevel"/>
    <w:tmpl w:val="DBCCB50A"/>
    <w:lvl w:ilvl="0" w:tplc="0809000F">
      <w:start w:val="1"/>
      <w:numFmt w:val="decimal"/>
      <w:lvlText w:val="%1."/>
      <w:lvlJc w:val="left"/>
      <w:pPr>
        <w:ind w:left="248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62B86E33"/>
    <w:multiLevelType w:val="hybridMultilevel"/>
    <w:tmpl w:val="CA00DAC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0" w15:restartNumberingAfterBreak="0">
    <w:nsid w:val="681377F4"/>
    <w:multiLevelType w:val="hybridMultilevel"/>
    <w:tmpl w:val="C866746E"/>
    <w:lvl w:ilvl="0" w:tplc="30C0B928">
      <w:start w:val="2"/>
      <w:numFmt w:val="lowerLetter"/>
      <w:lvlText w:val="(%1)"/>
      <w:lvlJc w:val="left"/>
      <w:pPr>
        <w:ind w:left="2061" w:hanging="36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36172"/>
    <w:multiLevelType w:val="hybridMultilevel"/>
    <w:tmpl w:val="4C1E7256"/>
    <w:lvl w:ilvl="0" w:tplc="7A3EFC12">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23EC6"/>
    <w:multiLevelType w:val="hybridMultilevel"/>
    <w:tmpl w:val="EEAE3720"/>
    <w:lvl w:ilvl="0" w:tplc="A83EC848">
      <w:start w:val="1"/>
      <w:numFmt w:val="decimal"/>
      <w:lvlText w:val="%1."/>
      <w:lvlJc w:val="left"/>
      <w:pPr>
        <w:ind w:left="644" w:hanging="360"/>
      </w:pPr>
      <w:rPr>
        <w:vertAlign w:val="baseline"/>
        <w:lang w:val="en-GB"/>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734F0167"/>
    <w:multiLevelType w:val="hybridMultilevel"/>
    <w:tmpl w:val="F216FEA2"/>
    <w:lvl w:ilvl="0" w:tplc="100C0001">
      <w:start w:val="1"/>
      <w:numFmt w:val="bullet"/>
      <w:lvlText w:val=""/>
      <w:lvlJc w:val="left"/>
      <w:pPr>
        <w:ind w:left="1494" w:hanging="360"/>
      </w:pPr>
      <w:rPr>
        <w:rFonts w:ascii="Symbol" w:hAnsi="Symbol"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5" w15:restartNumberingAfterBreak="0">
    <w:nsid w:val="7CF349BD"/>
    <w:multiLevelType w:val="singleLevel"/>
    <w:tmpl w:val="D8DC1A62"/>
    <w:lvl w:ilvl="0">
      <w:start w:val="1"/>
      <w:numFmt w:val="lowerRoman"/>
      <w:pStyle w:val="Rom1"/>
      <w:lvlText w:val="(%1)"/>
      <w:lvlJc w:val="right"/>
      <w:pPr>
        <w:tabs>
          <w:tab w:val="num" w:pos="1440"/>
        </w:tabs>
        <w:ind w:left="1440" w:hanging="589"/>
      </w:pPr>
      <w:rPr>
        <w:rFonts w:hint="default"/>
      </w:rPr>
    </w:lvl>
  </w:abstractNum>
  <w:abstractNum w:abstractNumId="36" w15:restartNumberingAfterBreak="0">
    <w:nsid w:val="7DBF6B5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EB65AF8"/>
    <w:multiLevelType w:val="hybridMultilevel"/>
    <w:tmpl w:val="7A16FFF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7EC51BF6"/>
    <w:multiLevelType w:val="hybridMultilevel"/>
    <w:tmpl w:val="62EEBFE0"/>
    <w:lvl w:ilvl="0" w:tplc="A07C30CC">
      <w:start w:val="10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0"/>
  </w:num>
  <w:num w:numId="2">
    <w:abstractNumId w:val="31"/>
  </w:num>
  <w:num w:numId="3">
    <w:abstractNumId w:val="4"/>
  </w:num>
  <w:num w:numId="4">
    <w:abstractNumId w:val="10"/>
  </w:num>
  <w:num w:numId="5">
    <w:abstractNumId w:val="32"/>
  </w:num>
  <w:num w:numId="6">
    <w:abstractNumId w:val="16"/>
  </w:num>
  <w:num w:numId="7">
    <w:abstractNumId w:val="11"/>
  </w:num>
  <w:num w:numId="8">
    <w:abstractNumId w:val="29"/>
  </w:num>
  <w:num w:numId="9">
    <w:abstractNumId w:val="1"/>
  </w:num>
  <w:num w:numId="10">
    <w:abstractNumId w:val="3"/>
  </w:num>
  <w:num w:numId="11">
    <w:abstractNumId w:val="19"/>
  </w:num>
  <w:num w:numId="12">
    <w:abstractNumId w:val="18"/>
  </w:num>
  <w:num w:numId="13">
    <w:abstractNumId w:val="25"/>
  </w:num>
  <w:num w:numId="14">
    <w:abstractNumId w:val="37"/>
  </w:num>
  <w:num w:numId="15">
    <w:abstractNumId w:val="26"/>
  </w:num>
  <w:num w:numId="16">
    <w:abstractNumId w:val="27"/>
  </w:num>
  <w:num w:numId="17">
    <w:abstractNumId w:val="24"/>
  </w:num>
  <w:num w:numId="18">
    <w:abstractNumId w:val="28"/>
  </w:num>
  <w:num w:numId="19">
    <w:abstractNumId w:val="14"/>
  </w:num>
  <w:num w:numId="20">
    <w:abstractNumId w:val="0"/>
  </w:num>
  <w:num w:numId="21">
    <w:abstractNumId w:val="12"/>
  </w:num>
  <w:num w:numId="22">
    <w:abstractNumId w:val="21"/>
  </w:num>
  <w:num w:numId="23">
    <w:abstractNumId w:val="7"/>
  </w:num>
  <w:num w:numId="24">
    <w:abstractNumId w:val="23"/>
  </w:num>
  <w:num w:numId="25">
    <w:abstractNumId w:val="38"/>
  </w:num>
  <w:num w:numId="26">
    <w:abstractNumId w:val="13"/>
  </w:num>
  <w:num w:numId="27">
    <w:abstractNumId w:val="33"/>
  </w:num>
  <w:num w:numId="28">
    <w:abstractNumId w:val="17"/>
  </w:num>
  <w:num w:numId="29">
    <w:abstractNumId w:val="8"/>
  </w:num>
  <w:num w:numId="30">
    <w:abstractNumId w:val="6"/>
  </w:num>
  <w:num w:numId="31">
    <w:abstractNumId w:val="5"/>
  </w:num>
  <w:num w:numId="32">
    <w:abstractNumId w:val="2"/>
  </w:num>
  <w:num w:numId="33">
    <w:abstractNumId w:val="9"/>
  </w:num>
  <w:num w:numId="34">
    <w:abstractNumId w:val="15"/>
  </w:num>
  <w:num w:numId="35">
    <w:abstractNumId w:val="20"/>
  </w:num>
  <w:num w:numId="36">
    <w:abstractNumId w:val="22"/>
  </w:num>
  <w:num w:numId="37">
    <w:abstractNumId w:val="0"/>
  </w:num>
  <w:num w:numId="38">
    <w:abstractNumId w:val="0"/>
  </w:num>
  <w:num w:numId="39">
    <w:abstractNumId w:val="36"/>
  </w:num>
  <w:num w:numId="40">
    <w:abstractNumId w:val="35"/>
  </w:num>
  <w:num w:numId="41">
    <w:abstractNumId w:val="34"/>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6" w:nlCheck="1" w:checkStyle="0"/>
  <w:proofState w:spelling="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2F"/>
    <w:rsid w:val="00000F79"/>
    <w:rsid w:val="00001516"/>
    <w:rsid w:val="0000152E"/>
    <w:rsid w:val="0000231B"/>
    <w:rsid w:val="000024F8"/>
    <w:rsid w:val="000033B5"/>
    <w:rsid w:val="000036F4"/>
    <w:rsid w:val="00003DFB"/>
    <w:rsid w:val="00005EEA"/>
    <w:rsid w:val="0000617C"/>
    <w:rsid w:val="0000642B"/>
    <w:rsid w:val="00010840"/>
    <w:rsid w:val="000126D6"/>
    <w:rsid w:val="00012D12"/>
    <w:rsid w:val="00015E9C"/>
    <w:rsid w:val="00017270"/>
    <w:rsid w:val="000202E6"/>
    <w:rsid w:val="00023760"/>
    <w:rsid w:val="00031C8C"/>
    <w:rsid w:val="000320AE"/>
    <w:rsid w:val="00032EF5"/>
    <w:rsid w:val="00037E6A"/>
    <w:rsid w:val="000427E0"/>
    <w:rsid w:val="000465FD"/>
    <w:rsid w:val="00050F6B"/>
    <w:rsid w:val="00052CB0"/>
    <w:rsid w:val="00056D06"/>
    <w:rsid w:val="00056EE0"/>
    <w:rsid w:val="00057396"/>
    <w:rsid w:val="00060EBD"/>
    <w:rsid w:val="0007017D"/>
    <w:rsid w:val="00072C8C"/>
    <w:rsid w:val="0007747A"/>
    <w:rsid w:val="00081410"/>
    <w:rsid w:val="00082338"/>
    <w:rsid w:val="00085347"/>
    <w:rsid w:val="00090D97"/>
    <w:rsid w:val="00091419"/>
    <w:rsid w:val="000931C0"/>
    <w:rsid w:val="00094C5E"/>
    <w:rsid w:val="000A3416"/>
    <w:rsid w:val="000A466E"/>
    <w:rsid w:val="000A506D"/>
    <w:rsid w:val="000B175B"/>
    <w:rsid w:val="000B1784"/>
    <w:rsid w:val="000B20D3"/>
    <w:rsid w:val="000B3A0F"/>
    <w:rsid w:val="000B45CA"/>
    <w:rsid w:val="000B5C56"/>
    <w:rsid w:val="000C11CF"/>
    <w:rsid w:val="000C6044"/>
    <w:rsid w:val="000C7F5C"/>
    <w:rsid w:val="000D7145"/>
    <w:rsid w:val="000E0415"/>
    <w:rsid w:val="000E1949"/>
    <w:rsid w:val="000E20D3"/>
    <w:rsid w:val="000E5005"/>
    <w:rsid w:val="000E7B9F"/>
    <w:rsid w:val="000F21F6"/>
    <w:rsid w:val="000F2AA6"/>
    <w:rsid w:val="000F4B57"/>
    <w:rsid w:val="000F5A4D"/>
    <w:rsid w:val="00100C84"/>
    <w:rsid w:val="00102EF8"/>
    <w:rsid w:val="001053D6"/>
    <w:rsid w:val="001102D6"/>
    <w:rsid w:val="0011332B"/>
    <w:rsid w:val="001135CB"/>
    <w:rsid w:val="00114F6A"/>
    <w:rsid w:val="00122A2C"/>
    <w:rsid w:val="001239FD"/>
    <w:rsid w:val="00124EF5"/>
    <w:rsid w:val="00134B92"/>
    <w:rsid w:val="00141410"/>
    <w:rsid w:val="00142953"/>
    <w:rsid w:val="0014596A"/>
    <w:rsid w:val="001474D9"/>
    <w:rsid w:val="001515D7"/>
    <w:rsid w:val="00152BBC"/>
    <w:rsid w:val="00155EE2"/>
    <w:rsid w:val="00163500"/>
    <w:rsid w:val="00164D09"/>
    <w:rsid w:val="00164FE5"/>
    <w:rsid w:val="00167615"/>
    <w:rsid w:val="00167A57"/>
    <w:rsid w:val="00172EF0"/>
    <w:rsid w:val="001731D2"/>
    <w:rsid w:val="001733C8"/>
    <w:rsid w:val="0017547A"/>
    <w:rsid w:val="0017682E"/>
    <w:rsid w:val="00176A36"/>
    <w:rsid w:val="00183A5E"/>
    <w:rsid w:val="00186379"/>
    <w:rsid w:val="00192AFB"/>
    <w:rsid w:val="00197DDD"/>
    <w:rsid w:val="001A5380"/>
    <w:rsid w:val="001A55F8"/>
    <w:rsid w:val="001A6670"/>
    <w:rsid w:val="001A6673"/>
    <w:rsid w:val="001B356B"/>
    <w:rsid w:val="001B471E"/>
    <w:rsid w:val="001B4B04"/>
    <w:rsid w:val="001B6F2D"/>
    <w:rsid w:val="001B7BFE"/>
    <w:rsid w:val="001C0625"/>
    <w:rsid w:val="001C449E"/>
    <w:rsid w:val="001C4719"/>
    <w:rsid w:val="001C6663"/>
    <w:rsid w:val="001C7895"/>
    <w:rsid w:val="001D0556"/>
    <w:rsid w:val="001D0A87"/>
    <w:rsid w:val="001D10FD"/>
    <w:rsid w:val="001D197B"/>
    <w:rsid w:val="001D26DF"/>
    <w:rsid w:val="001D2FDC"/>
    <w:rsid w:val="001D446A"/>
    <w:rsid w:val="001D4691"/>
    <w:rsid w:val="001D6699"/>
    <w:rsid w:val="001D7AB3"/>
    <w:rsid w:val="001E1425"/>
    <w:rsid w:val="001E3807"/>
    <w:rsid w:val="001E3F40"/>
    <w:rsid w:val="001E69B4"/>
    <w:rsid w:val="001E796A"/>
    <w:rsid w:val="001F2C3C"/>
    <w:rsid w:val="001F44F2"/>
    <w:rsid w:val="001F6998"/>
    <w:rsid w:val="0020159E"/>
    <w:rsid w:val="00211E0B"/>
    <w:rsid w:val="0021687A"/>
    <w:rsid w:val="00216FB1"/>
    <w:rsid w:val="00221E8E"/>
    <w:rsid w:val="0022505C"/>
    <w:rsid w:val="00225CB3"/>
    <w:rsid w:val="0023048B"/>
    <w:rsid w:val="002338DA"/>
    <w:rsid w:val="00237785"/>
    <w:rsid w:val="00241466"/>
    <w:rsid w:val="00244750"/>
    <w:rsid w:val="00245524"/>
    <w:rsid w:val="00245B16"/>
    <w:rsid w:val="0024605A"/>
    <w:rsid w:val="00247153"/>
    <w:rsid w:val="002472AB"/>
    <w:rsid w:val="00247E11"/>
    <w:rsid w:val="002502BF"/>
    <w:rsid w:val="00255A0D"/>
    <w:rsid w:val="00256405"/>
    <w:rsid w:val="00257B63"/>
    <w:rsid w:val="0026150F"/>
    <w:rsid w:val="00262F40"/>
    <w:rsid w:val="00271891"/>
    <w:rsid w:val="00282043"/>
    <w:rsid w:val="00282D93"/>
    <w:rsid w:val="002832C4"/>
    <w:rsid w:val="002833FC"/>
    <w:rsid w:val="00285844"/>
    <w:rsid w:val="002900E9"/>
    <w:rsid w:val="00290758"/>
    <w:rsid w:val="002A270E"/>
    <w:rsid w:val="002B3222"/>
    <w:rsid w:val="002B5F78"/>
    <w:rsid w:val="002C0BDD"/>
    <w:rsid w:val="002C23CA"/>
    <w:rsid w:val="002C2556"/>
    <w:rsid w:val="002C2B9C"/>
    <w:rsid w:val="002C7177"/>
    <w:rsid w:val="002D22F0"/>
    <w:rsid w:val="002D38E3"/>
    <w:rsid w:val="002D64A9"/>
    <w:rsid w:val="002E2F64"/>
    <w:rsid w:val="002E3A2D"/>
    <w:rsid w:val="002E4731"/>
    <w:rsid w:val="002F318A"/>
    <w:rsid w:val="002F5D9E"/>
    <w:rsid w:val="002F761C"/>
    <w:rsid w:val="003007B0"/>
    <w:rsid w:val="00303E39"/>
    <w:rsid w:val="00304FCD"/>
    <w:rsid w:val="00306BCA"/>
    <w:rsid w:val="003107FA"/>
    <w:rsid w:val="00310C90"/>
    <w:rsid w:val="00313326"/>
    <w:rsid w:val="00316FA0"/>
    <w:rsid w:val="003229D8"/>
    <w:rsid w:val="00322FAF"/>
    <w:rsid w:val="00324F9B"/>
    <w:rsid w:val="003254BB"/>
    <w:rsid w:val="00326648"/>
    <w:rsid w:val="003273D7"/>
    <w:rsid w:val="00334678"/>
    <w:rsid w:val="00336125"/>
    <w:rsid w:val="003375A8"/>
    <w:rsid w:val="003407DC"/>
    <w:rsid w:val="00343D44"/>
    <w:rsid w:val="003442B6"/>
    <w:rsid w:val="00346C62"/>
    <w:rsid w:val="00350908"/>
    <w:rsid w:val="00352762"/>
    <w:rsid w:val="00355C90"/>
    <w:rsid w:val="00357C46"/>
    <w:rsid w:val="003600C9"/>
    <w:rsid w:val="00362C92"/>
    <w:rsid w:val="00366275"/>
    <w:rsid w:val="00366D50"/>
    <w:rsid w:val="003675A9"/>
    <w:rsid w:val="0037338D"/>
    <w:rsid w:val="00373DB2"/>
    <w:rsid w:val="00374257"/>
    <w:rsid w:val="00385140"/>
    <w:rsid w:val="003854F0"/>
    <w:rsid w:val="0039277A"/>
    <w:rsid w:val="00393BD8"/>
    <w:rsid w:val="003946F6"/>
    <w:rsid w:val="00394B59"/>
    <w:rsid w:val="00395CCA"/>
    <w:rsid w:val="00396685"/>
    <w:rsid w:val="003972E0"/>
    <w:rsid w:val="003A394E"/>
    <w:rsid w:val="003A5EC8"/>
    <w:rsid w:val="003A743F"/>
    <w:rsid w:val="003B78CB"/>
    <w:rsid w:val="003C07C1"/>
    <w:rsid w:val="003C2CC4"/>
    <w:rsid w:val="003C64A8"/>
    <w:rsid w:val="003C6D03"/>
    <w:rsid w:val="003D1AD2"/>
    <w:rsid w:val="003D25D1"/>
    <w:rsid w:val="003D3774"/>
    <w:rsid w:val="003D4B23"/>
    <w:rsid w:val="003D7918"/>
    <w:rsid w:val="003E4995"/>
    <w:rsid w:val="003E7049"/>
    <w:rsid w:val="003F3EFC"/>
    <w:rsid w:val="0040226E"/>
    <w:rsid w:val="00407370"/>
    <w:rsid w:val="00410691"/>
    <w:rsid w:val="004149C0"/>
    <w:rsid w:val="00416AF6"/>
    <w:rsid w:val="00425F04"/>
    <w:rsid w:val="004309A4"/>
    <w:rsid w:val="00431A78"/>
    <w:rsid w:val="004322CE"/>
    <w:rsid w:val="004325CB"/>
    <w:rsid w:val="00432A16"/>
    <w:rsid w:val="00434931"/>
    <w:rsid w:val="00437EC9"/>
    <w:rsid w:val="0044247C"/>
    <w:rsid w:val="00442A2D"/>
    <w:rsid w:val="004446E7"/>
    <w:rsid w:val="00446DE4"/>
    <w:rsid w:val="00451025"/>
    <w:rsid w:val="004536E4"/>
    <w:rsid w:val="0046012A"/>
    <w:rsid w:val="0046018B"/>
    <w:rsid w:val="0046065E"/>
    <w:rsid w:val="0046684C"/>
    <w:rsid w:val="00466FAC"/>
    <w:rsid w:val="00467106"/>
    <w:rsid w:val="0046759D"/>
    <w:rsid w:val="004717FF"/>
    <w:rsid w:val="00473FF8"/>
    <w:rsid w:val="00475860"/>
    <w:rsid w:val="00475C19"/>
    <w:rsid w:val="00476106"/>
    <w:rsid w:val="004810AC"/>
    <w:rsid w:val="00481F68"/>
    <w:rsid w:val="00494692"/>
    <w:rsid w:val="00495AC7"/>
    <w:rsid w:val="00495F54"/>
    <w:rsid w:val="004A03C6"/>
    <w:rsid w:val="004A548F"/>
    <w:rsid w:val="004B6B09"/>
    <w:rsid w:val="004C5378"/>
    <w:rsid w:val="004C79E9"/>
    <w:rsid w:val="004D34B7"/>
    <w:rsid w:val="004D4767"/>
    <w:rsid w:val="004D4A9D"/>
    <w:rsid w:val="004D4EEC"/>
    <w:rsid w:val="004D4FED"/>
    <w:rsid w:val="004D50AC"/>
    <w:rsid w:val="004D66CA"/>
    <w:rsid w:val="004E09FF"/>
    <w:rsid w:val="004E57ED"/>
    <w:rsid w:val="004E782F"/>
    <w:rsid w:val="004F02C9"/>
    <w:rsid w:val="004F03FC"/>
    <w:rsid w:val="004F5562"/>
    <w:rsid w:val="004F6059"/>
    <w:rsid w:val="004F785E"/>
    <w:rsid w:val="0050468A"/>
    <w:rsid w:val="005051B4"/>
    <w:rsid w:val="00507323"/>
    <w:rsid w:val="0051148D"/>
    <w:rsid w:val="00514EC1"/>
    <w:rsid w:val="0051583A"/>
    <w:rsid w:val="00525264"/>
    <w:rsid w:val="005256BA"/>
    <w:rsid w:val="00533821"/>
    <w:rsid w:val="00533918"/>
    <w:rsid w:val="0053582B"/>
    <w:rsid w:val="00540C2F"/>
    <w:rsid w:val="005410A7"/>
    <w:rsid w:val="005420F2"/>
    <w:rsid w:val="0054438C"/>
    <w:rsid w:val="0054472C"/>
    <w:rsid w:val="00544FC8"/>
    <w:rsid w:val="00545278"/>
    <w:rsid w:val="00551869"/>
    <w:rsid w:val="00551C46"/>
    <w:rsid w:val="00552B4E"/>
    <w:rsid w:val="00552DEC"/>
    <w:rsid w:val="00556C3B"/>
    <w:rsid w:val="00560AE4"/>
    <w:rsid w:val="00560E77"/>
    <w:rsid w:val="00560FB0"/>
    <w:rsid w:val="00561B79"/>
    <w:rsid w:val="00561D9D"/>
    <w:rsid w:val="0056244C"/>
    <w:rsid w:val="00563FDC"/>
    <w:rsid w:val="005662B9"/>
    <w:rsid w:val="005668EE"/>
    <w:rsid w:val="00567BA5"/>
    <w:rsid w:val="005730C6"/>
    <w:rsid w:val="00573D5E"/>
    <w:rsid w:val="00574363"/>
    <w:rsid w:val="00575073"/>
    <w:rsid w:val="00585664"/>
    <w:rsid w:val="00590796"/>
    <w:rsid w:val="00596A3F"/>
    <w:rsid w:val="00596B2C"/>
    <w:rsid w:val="005A0BEB"/>
    <w:rsid w:val="005A274D"/>
    <w:rsid w:val="005A5A72"/>
    <w:rsid w:val="005B0053"/>
    <w:rsid w:val="005B098C"/>
    <w:rsid w:val="005B3DB3"/>
    <w:rsid w:val="005B5DB4"/>
    <w:rsid w:val="005C0081"/>
    <w:rsid w:val="005C1CCD"/>
    <w:rsid w:val="005C50EF"/>
    <w:rsid w:val="005C73E0"/>
    <w:rsid w:val="005D017D"/>
    <w:rsid w:val="005D02AD"/>
    <w:rsid w:val="005D0EDB"/>
    <w:rsid w:val="005D4763"/>
    <w:rsid w:val="005D4FD9"/>
    <w:rsid w:val="005D6919"/>
    <w:rsid w:val="005E781B"/>
    <w:rsid w:val="005F30F3"/>
    <w:rsid w:val="005F776E"/>
    <w:rsid w:val="0060032F"/>
    <w:rsid w:val="00601A29"/>
    <w:rsid w:val="00606575"/>
    <w:rsid w:val="00611FC4"/>
    <w:rsid w:val="00612081"/>
    <w:rsid w:val="00614C17"/>
    <w:rsid w:val="00616A53"/>
    <w:rsid w:val="00617090"/>
    <w:rsid w:val="006176FB"/>
    <w:rsid w:val="00622958"/>
    <w:rsid w:val="006230DD"/>
    <w:rsid w:val="0062312F"/>
    <w:rsid w:val="00627E79"/>
    <w:rsid w:val="00632FF6"/>
    <w:rsid w:val="0063333E"/>
    <w:rsid w:val="00633D2E"/>
    <w:rsid w:val="00636393"/>
    <w:rsid w:val="00640B26"/>
    <w:rsid w:val="00652640"/>
    <w:rsid w:val="006551CF"/>
    <w:rsid w:val="006577DB"/>
    <w:rsid w:val="006610F1"/>
    <w:rsid w:val="00670F6B"/>
    <w:rsid w:val="00674795"/>
    <w:rsid w:val="00681593"/>
    <w:rsid w:val="0068287C"/>
    <w:rsid w:val="00682D97"/>
    <w:rsid w:val="00682DBE"/>
    <w:rsid w:val="00690CA5"/>
    <w:rsid w:val="00696841"/>
    <w:rsid w:val="00697FD5"/>
    <w:rsid w:val="006A0B41"/>
    <w:rsid w:val="006A663F"/>
    <w:rsid w:val="006A7392"/>
    <w:rsid w:val="006B0B07"/>
    <w:rsid w:val="006B1371"/>
    <w:rsid w:val="006B1AA7"/>
    <w:rsid w:val="006B3E37"/>
    <w:rsid w:val="006B478B"/>
    <w:rsid w:val="006B4B13"/>
    <w:rsid w:val="006B669E"/>
    <w:rsid w:val="006C01A5"/>
    <w:rsid w:val="006C0C43"/>
    <w:rsid w:val="006C0D34"/>
    <w:rsid w:val="006C4F35"/>
    <w:rsid w:val="006C5F9C"/>
    <w:rsid w:val="006C680F"/>
    <w:rsid w:val="006D191E"/>
    <w:rsid w:val="006D2359"/>
    <w:rsid w:val="006D717D"/>
    <w:rsid w:val="006E130A"/>
    <w:rsid w:val="006E5507"/>
    <w:rsid w:val="006E564B"/>
    <w:rsid w:val="006E74E8"/>
    <w:rsid w:val="006F2723"/>
    <w:rsid w:val="006F789A"/>
    <w:rsid w:val="00702666"/>
    <w:rsid w:val="00702C9E"/>
    <w:rsid w:val="007037D7"/>
    <w:rsid w:val="00703F69"/>
    <w:rsid w:val="00704323"/>
    <w:rsid w:val="00711AEE"/>
    <w:rsid w:val="00713A90"/>
    <w:rsid w:val="00713B69"/>
    <w:rsid w:val="00715557"/>
    <w:rsid w:val="00721671"/>
    <w:rsid w:val="00722FED"/>
    <w:rsid w:val="00723CA7"/>
    <w:rsid w:val="007245D0"/>
    <w:rsid w:val="00725889"/>
    <w:rsid w:val="0072632A"/>
    <w:rsid w:val="00726DAC"/>
    <w:rsid w:val="00726F21"/>
    <w:rsid w:val="007277AF"/>
    <w:rsid w:val="0073552C"/>
    <w:rsid w:val="0073561C"/>
    <w:rsid w:val="007400DA"/>
    <w:rsid w:val="00746A4F"/>
    <w:rsid w:val="00747AEA"/>
    <w:rsid w:val="007535BD"/>
    <w:rsid w:val="0075567E"/>
    <w:rsid w:val="00761702"/>
    <w:rsid w:val="00763C01"/>
    <w:rsid w:val="00774D31"/>
    <w:rsid w:val="00777B28"/>
    <w:rsid w:val="00780407"/>
    <w:rsid w:val="007808AD"/>
    <w:rsid w:val="00782488"/>
    <w:rsid w:val="00786465"/>
    <w:rsid w:val="00786544"/>
    <w:rsid w:val="007909A4"/>
    <w:rsid w:val="00794881"/>
    <w:rsid w:val="00794C6E"/>
    <w:rsid w:val="007A2954"/>
    <w:rsid w:val="007A47DA"/>
    <w:rsid w:val="007B2EBF"/>
    <w:rsid w:val="007B3531"/>
    <w:rsid w:val="007B6BA5"/>
    <w:rsid w:val="007C0A73"/>
    <w:rsid w:val="007C10A5"/>
    <w:rsid w:val="007C3390"/>
    <w:rsid w:val="007C42F7"/>
    <w:rsid w:val="007C4F4B"/>
    <w:rsid w:val="007C51F8"/>
    <w:rsid w:val="007C6D27"/>
    <w:rsid w:val="007D2DFB"/>
    <w:rsid w:val="007D3B75"/>
    <w:rsid w:val="007D4C48"/>
    <w:rsid w:val="007D6FE2"/>
    <w:rsid w:val="007E038F"/>
    <w:rsid w:val="007E0EC6"/>
    <w:rsid w:val="007E2E0E"/>
    <w:rsid w:val="007E33F1"/>
    <w:rsid w:val="007E44F0"/>
    <w:rsid w:val="007E6CB0"/>
    <w:rsid w:val="007F07E0"/>
    <w:rsid w:val="007F08A3"/>
    <w:rsid w:val="007F249B"/>
    <w:rsid w:val="007F3143"/>
    <w:rsid w:val="007F5C23"/>
    <w:rsid w:val="007F6611"/>
    <w:rsid w:val="00804DD8"/>
    <w:rsid w:val="0080640D"/>
    <w:rsid w:val="0081533F"/>
    <w:rsid w:val="008175E9"/>
    <w:rsid w:val="00821A35"/>
    <w:rsid w:val="0082268A"/>
    <w:rsid w:val="00822BC3"/>
    <w:rsid w:val="00822E41"/>
    <w:rsid w:val="008242D7"/>
    <w:rsid w:val="00832768"/>
    <w:rsid w:val="00833615"/>
    <w:rsid w:val="00836CA7"/>
    <w:rsid w:val="0084049B"/>
    <w:rsid w:val="00840F75"/>
    <w:rsid w:val="0086241C"/>
    <w:rsid w:val="008628CC"/>
    <w:rsid w:val="00862EC1"/>
    <w:rsid w:val="0086305F"/>
    <w:rsid w:val="008655AE"/>
    <w:rsid w:val="00867A04"/>
    <w:rsid w:val="00870532"/>
    <w:rsid w:val="00871FD5"/>
    <w:rsid w:val="008773BC"/>
    <w:rsid w:val="00882125"/>
    <w:rsid w:val="00882302"/>
    <w:rsid w:val="0088588E"/>
    <w:rsid w:val="00890A7D"/>
    <w:rsid w:val="00891DFC"/>
    <w:rsid w:val="0089579A"/>
    <w:rsid w:val="00895F83"/>
    <w:rsid w:val="008979B1"/>
    <w:rsid w:val="008A4A03"/>
    <w:rsid w:val="008A4C10"/>
    <w:rsid w:val="008A6B25"/>
    <w:rsid w:val="008A6C4F"/>
    <w:rsid w:val="008B6BC1"/>
    <w:rsid w:val="008B73C5"/>
    <w:rsid w:val="008B7C0D"/>
    <w:rsid w:val="008D002F"/>
    <w:rsid w:val="008D030E"/>
    <w:rsid w:val="008D28B4"/>
    <w:rsid w:val="008D54AC"/>
    <w:rsid w:val="008D54E9"/>
    <w:rsid w:val="008D7820"/>
    <w:rsid w:val="008D7D4F"/>
    <w:rsid w:val="008E0E46"/>
    <w:rsid w:val="008E17EC"/>
    <w:rsid w:val="008E354D"/>
    <w:rsid w:val="008E4B24"/>
    <w:rsid w:val="008F0084"/>
    <w:rsid w:val="008F084C"/>
    <w:rsid w:val="009027BC"/>
    <w:rsid w:val="00904B2C"/>
    <w:rsid w:val="00907CC9"/>
    <w:rsid w:val="0092066F"/>
    <w:rsid w:val="00921B69"/>
    <w:rsid w:val="00926B34"/>
    <w:rsid w:val="00930B16"/>
    <w:rsid w:val="00933236"/>
    <w:rsid w:val="009348CE"/>
    <w:rsid w:val="0093752D"/>
    <w:rsid w:val="00937BBB"/>
    <w:rsid w:val="00942BE3"/>
    <w:rsid w:val="0095053F"/>
    <w:rsid w:val="00955C21"/>
    <w:rsid w:val="00957055"/>
    <w:rsid w:val="00957EBC"/>
    <w:rsid w:val="00960A18"/>
    <w:rsid w:val="00960BAF"/>
    <w:rsid w:val="00961CF0"/>
    <w:rsid w:val="00963CBA"/>
    <w:rsid w:val="00964AEB"/>
    <w:rsid w:val="009724BB"/>
    <w:rsid w:val="00974C8D"/>
    <w:rsid w:val="00974E74"/>
    <w:rsid w:val="0097668D"/>
    <w:rsid w:val="00976EBB"/>
    <w:rsid w:val="00984CBD"/>
    <w:rsid w:val="00987EF6"/>
    <w:rsid w:val="00991261"/>
    <w:rsid w:val="009916DE"/>
    <w:rsid w:val="0099567D"/>
    <w:rsid w:val="00997212"/>
    <w:rsid w:val="00997418"/>
    <w:rsid w:val="009979CB"/>
    <w:rsid w:val="00997A11"/>
    <w:rsid w:val="009A1F32"/>
    <w:rsid w:val="009A3143"/>
    <w:rsid w:val="009A3CAD"/>
    <w:rsid w:val="009A4FF3"/>
    <w:rsid w:val="009A6C0E"/>
    <w:rsid w:val="009B7D21"/>
    <w:rsid w:val="009C115E"/>
    <w:rsid w:val="009D2C44"/>
    <w:rsid w:val="009D585F"/>
    <w:rsid w:val="009D5BA4"/>
    <w:rsid w:val="009E0738"/>
    <w:rsid w:val="009E19E9"/>
    <w:rsid w:val="009E1DF4"/>
    <w:rsid w:val="009E669A"/>
    <w:rsid w:val="009F1F9A"/>
    <w:rsid w:val="009F3E16"/>
    <w:rsid w:val="009F3E4C"/>
    <w:rsid w:val="009F4577"/>
    <w:rsid w:val="00A02772"/>
    <w:rsid w:val="00A06179"/>
    <w:rsid w:val="00A06CD1"/>
    <w:rsid w:val="00A07718"/>
    <w:rsid w:val="00A1267A"/>
    <w:rsid w:val="00A1427D"/>
    <w:rsid w:val="00A1592E"/>
    <w:rsid w:val="00A2621F"/>
    <w:rsid w:val="00A2676D"/>
    <w:rsid w:val="00A27A01"/>
    <w:rsid w:val="00A33823"/>
    <w:rsid w:val="00A41D18"/>
    <w:rsid w:val="00A46CD4"/>
    <w:rsid w:val="00A50DEC"/>
    <w:rsid w:val="00A51272"/>
    <w:rsid w:val="00A53158"/>
    <w:rsid w:val="00A55D3E"/>
    <w:rsid w:val="00A57C7A"/>
    <w:rsid w:val="00A60831"/>
    <w:rsid w:val="00A61CFF"/>
    <w:rsid w:val="00A63CD5"/>
    <w:rsid w:val="00A648A3"/>
    <w:rsid w:val="00A7153F"/>
    <w:rsid w:val="00A72F22"/>
    <w:rsid w:val="00A734C2"/>
    <w:rsid w:val="00A748A6"/>
    <w:rsid w:val="00A82CA5"/>
    <w:rsid w:val="00A85096"/>
    <w:rsid w:val="00A879A4"/>
    <w:rsid w:val="00A91E69"/>
    <w:rsid w:val="00A94455"/>
    <w:rsid w:val="00AA0178"/>
    <w:rsid w:val="00AA1DE8"/>
    <w:rsid w:val="00AA5FE1"/>
    <w:rsid w:val="00AA6A1A"/>
    <w:rsid w:val="00AB2579"/>
    <w:rsid w:val="00AB4611"/>
    <w:rsid w:val="00AB5A7C"/>
    <w:rsid w:val="00AC1B43"/>
    <w:rsid w:val="00AD1E53"/>
    <w:rsid w:val="00AD3135"/>
    <w:rsid w:val="00AD35A4"/>
    <w:rsid w:val="00AD437E"/>
    <w:rsid w:val="00AE048C"/>
    <w:rsid w:val="00AF02BA"/>
    <w:rsid w:val="00AF15B2"/>
    <w:rsid w:val="00AF3238"/>
    <w:rsid w:val="00AF5E4E"/>
    <w:rsid w:val="00B00238"/>
    <w:rsid w:val="00B01B1D"/>
    <w:rsid w:val="00B01E0F"/>
    <w:rsid w:val="00B14BE0"/>
    <w:rsid w:val="00B30179"/>
    <w:rsid w:val="00B3317B"/>
    <w:rsid w:val="00B33899"/>
    <w:rsid w:val="00B41744"/>
    <w:rsid w:val="00B45902"/>
    <w:rsid w:val="00B4744E"/>
    <w:rsid w:val="00B51A27"/>
    <w:rsid w:val="00B51AF9"/>
    <w:rsid w:val="00B52CD6"/>
    <w:rsid w:val="00B52EE8"/>
    <w:rsid w:val="00B55634"/>
    <w:rsid w:val="00B573D5"/>
    <w:rsid w:val="00B57597"/>
    <w:rsid w:val="00B758F3"/>
    <w:rsid w:val="00B75D73"/>
    <w:rsid w:val="00B778EA"/>
    <w:rsid w:val="00B80BA1"/>
    <w:rsid w:val="00B8114B"/>
    <w:rsid w:val="00B818A7"/>
    <w:rsid w:val="00B81D0F"/>
    <w:rsid w:val="00B81E12"/>
    <w:rsid w:val="00B825D1"/>
    <w:rsid w:val="00B83D16"/>
    <w:rsid w:val="00B8740C"/>
    <w:rsid w:val="00B87DBD"/>
    <w:rsid w:val="00B927D5"/>
    <w:rsid w:val="00B93068"/>
    <w:rsid w:val="00B93611"/>
    <w:rsid w:val="00B93FF8"/>
    <w:rsid w:val="00B9798E"/>
    <w:rsid w:val="00BA1E72"/>
    <w:rsid w:val="00BA690C"/>
    <w:rsid w:val="00BB2C7F"/>
    <w:rsid w:val="00BB3406"/>
    <w:rsid w:val="00BB5A1D"/>
    <w:rsid w:val="00BC1E05"/>
    <w:rsid w:val="00BC2B30"/>
    <w:rsid w:val="00BC3FDA"/>
    <w:rsid w:val="00BC4AA5"/>
    <w:rsid w:val="00BC6D82"/>
    <w:rsid w:val="00BC74E9"/>
    <w:rsid w:val="00BD32A4"/>
    <w:rsid w:val="00BE184A"/>
    <w:rsid w:val="00BE4DB2"/>
    <w:rsid w:val="00BE618E"/>
    <w:rsid w:val="00BE6A1C"/>
    <w:rsid w:val="00BF0035"/>
    <w:rsid w:val="00BF366F"/>
    <w:rsid w:val="00BF4D25"/>
    <w:rsid w:val="00C01E72"/>
    <w:rsid w:val="00C03A56"/>
    <w:rsid w:val="00C05537"/>
    <w:rsid w:val="00C0689E"/>
    <w:rsid w:val="00C20F9C"/>
    <w:rsid w:val="00C2598E"/>
    <w:rsid w:val="00C31A3D"/>
    <w:rsid w:val="00C32144"/>
    <w:rsid w:val="00C34300"/>
    <w:rsid w:val="00C36887"/>
    <w:rsid w:val="00C43FC3"/>
    <w:rsid w:val="00C45466"/>
    <w:rsid w:val="00C463DD"/>
    <w:rsid w:val="00C500F8"/>
    <w:rsid w:val="00C507C6"/>
    <w:rsid w:val="00C50937"/>
    <w:rsid w:val="00C519CF"/>
    <w:rsid w:val="00C60BFA"/>
    <w:rsid w:val="00C71B90"/>
    <w:rsid w:val="00C73D07"/>
    <w:rsid w:val="00C745C3"/>
    <w:rsid w:val="00C74E63"/>
    <w:rsid w:val="00C81EB6"/>
    <w:rsid w:val="00C865EC"/>
    <w:rsid w:val="00C86823"/>
    <w:rsid w:val="00C91CA2"/>
    <w:rsid w:val="00C924D6"/>
    <w:rsid w:val="00C959D9"/>
    <w:rsid w:val="00C96AC9"/>
    <w:rsid w:val="00CA187B"/>
    <w:rsid w:val="00CA6D7B"/>
    <w:rsid w:val="00CB1C65"/>
    <w:rsid w:val="00CB5901"/>
    <w:rsid w:val="00CC0079"/>
    <w:rsid w:val="00CD2EAC"/>
    <w:rsid w:val="00CD3610"/>
    <w:rsid w:val="00CD5BFB"/>
    <w:rsid w:val="00CE4816"/>
    <w:rsid w:val="00CE4A8F"/>
    <w:rsid w:val="00CF032B"/>
    <w:rsid w:val="00CF0430"/>
    <w:rsid w:val="00CF5247"/>
    <w:rsid w:val="00CF70D3"/>
    <w:rsid w:val="00D0035D"/>
    <w:rsid w:val="00D0241B"/>
    <w:rsid w:val="00D04AE9"/>
    <w:rsid w:val="00D14312"/>
    <w:rsid w:val="00D2031B"/>
    <w:rsid w:val="00D239F9"/>
    <w:rsid w:val="00D248B3"/>
    <w:rsid w:val="00D256E6"/>
    <w:rsid w:val="00D25FE2"/>
    <w:rsid w:val="00D2617B"/>
    <w:rsid w:val="00D307D3"/>
    <w:rsid w:val="00D33A1B"/>
    <w:rsid w:val="00D33B50"/>
    <w:rsid w:val="00D410C8"/>
    <w:rsid w:val="00D43252"/>
    <w:rsid w:val="00D44EA0"/>
    <w:rsid w:val="00D535AB"/>
    <w:rsid w:val="00D54339"/>
    <w:rsid w:val="00D54EDE"/>
    <w:rsid w:val="00D562C5"/>
    <w:rsid w:val="00D57CC1"/>
    <w:rsid w:val="00D66C0E"/>
    <w:rsid w:val="00D719A1"/>
    <w:rsid w:val="00D73620"/>
    <w:rsid w:val="00D74CCA"/>
    <w:rsid w:val="00D76134"/>
    <w:rsid w:val="00D8426E"/>
    <w:rsid w:val="00D90CEB"/>
    <w:rsid w:val="00D92D44"/>
    <w:rsid w:val="00D9371A"/>
    <w:rsid w:val="00D978C6"/>
    <w:rsid w:val="00DA03D7"/>
    <w:rsid w:val="00DA3137"/>
    <w:rsid w:val="00DA4866"/>
    <w:rsid w:val="00DA6287"/>
    <w:rsid w:val="00DA67AD"/>
    <w:rsid w:val="00DB147D"/>
    <w:rsid w:val="00DB3B83"/>
    <w:rsid w:val="00DB4442"/>
    <w:rsid w:val="00DC0083"/>
    <w:rsid w:val="00DC1B57"/>
    <w:rsid w:val="00DC1B8B"/>
    <w:rsid w:val="00DC70B5"/>
    <w:rsid w:val="00DC74D5"/>
    <w:rsid w:val="00DD33BE"/>
    <w:rsid w:val="00DD5E25"/>
    <w:rsid w:val="00DE17AD"/>
    <w:rsid w:val="00DE3BF1"/>
    <w:rsid w:val="00DE5D09"/>
    <w:rsid w:val="00DE74D0"/>
    <w:rsid w:val="00DF0A3B"/>
    <w:rsid w:val="00DF3FAD"/>
    <w:rsid w:val="00DF4BBB"/>
    <w:rsid w:val="00DF5608"/>
    <w:rsid w:val="00E02714"/>
    <w:rsid w:val="00E0319E"/>
    <w:rsid w:val="00E03CFF"/>
    <w:rsid w:val="00E04315"/>
    <w:rsid w:val="00E110B2"/>
    <w:rsid w:val="00E130AB"/>
    <w:rsid w:val="00E13951"/>
    <w:rsid w:val="00E14248"/>
    <w:rsid w:val="00E23C7D"/>
    <w:rsid w:val="00E2478B"/>
    <w:rsid w:val="00E275E3"/>
    <w:rsid w:val="00E2774E"/>
    <w:rsid w:val="00E27C23"/>
    <w:rsid w:val="00E30FA1"/>
    <w:rsid w:val="00E3104C"/>
    <w:rsid w:val="00E417E5"/>
    <w:rsid w:val="00E4192F"/>
    <w:rsid w:val="00E43CBC"/>
    <w:rsid w:val="00E506C4"/>
    <w:rsid w:val="00E5644E"/>
    <w:rsid w:val="00E61469"/>
    <w:rsid w:val="00E62948"/>
    <w:rsid w:val="00E65DB5"/>
    <w:rsid w:val="00E66DB1"/>
    <w:rsid w:val="00E67A15"/>
    <w:rsid w:val="00E714BF"/>
    <w:rsid w:val="00E7260F"/>
    <w:rsid w:val="00E73411"/>
    <w:rsid w:val="00E73435"/>
    <w:rsid w:val="00E75856"/>
    <w:rsid w:val="00E8012B"/>
    <w:rsid w:val="00E84727"/>
    <w:rsid w:val="00E84E69"/>
    <w:rsid w:val="00E959BC"/>
    <w:rsid w:val="00E96630"/>
    <w:rsid w:val="00E970C6"/>
    <w:rsid w:val="00EB34C6"/>
    <w:rsid w:val="00EB52E6"/>
    <w:rsid w:val="00EB68E7"/>
    <w:rsid w:val="00EB6EA1"/>
    <w:rsid w:val="00EC0FEC"/>
    <w:rsid w:val="00ED0648"/>
    <w:rsid w:val="00ED139C"/>
    <w:rsid w:val="00ED163C"/>
    <w:rsid w:val="00ED31BC"/>
    <w:rsid w:val="00ED356F"/>
    <w:rsid w:val="00ED402F"/>
    <w:rsid w:val="00ED5D72"/>
    <w:rsid w:val="00ED7395"/>
    <w:rsid w:val="00ED79C4"/>
    <w:rsid w:val="00ED7A2A"/>
    <w:rsid w:val="00EE207C"/>
    <w:rsid w:val="00EE487B"/>
    <w:rsid w:val="00EE4BF1"/>
    <w:rsid w:val="00EE5BDC"/>
    <w:rsid w:val="00EE6B13"/>
    <w:rsid w:val="00EE712B"/>
    <w:rsid w:val="00EF1D7F"/>
    <w:rsid w:val="00F02461"/>
    <w:rsid w:val="00F06091"/>
    <w:rsid w:val="00F11D50"/>
    <w:rsid w:val="00F14EA3"/>
    <w:rsid w:val="00F156C1"/>
    <w:rsid w:val="00F15CA0"/>
    <w:rsid w:val="00F17D62"/>
    <w:rsid w:val="00F20130"/>
    <w:rsid w:val="00F213E9"/>
    <w:rsid w:val="00F30A2B"/>
    <w:rsid w:val="00F329E5"/>
    <w:rsid w:val="00F32D62"/>
    <w:rsid w:val="00F335D1"/>
    <w:rsid w:val="00F35AEA"/>
    <w:rsid w:val="00F37EBF"/>
    <w:rsid w:val="00F40E75"/>
    <w:rsid w:val="00F41882"/>
    <w:rsid w:val="00F42941"/>
    <w:rsid w:val="00F44C94"/>
    <w:rsid w:val="00F45FF4"/>
    <w:rsid w:val="00F50D83"/>
    <w:rsid w:val="00F53FEA"/>
    <w:rsid w:val="00F56E7F"/>
    <w:rsid w:val="00F607C1"/>
    <w:rsid w:val="00F618FF"/>
    <w:rsid w:val="00F637C5"/>
    <w:rsid w:val="00F639E3"/>
    <w:rsid w:val="00F65676"/>
    <w:rsid w:val="00F71157"/>
    <w:rsid w:val="00F71BAA"/>
    <w:rsid w:val="00F738EF"/>
    <w:rsid w:val="00F76DA4"/>
    <w:rsid w:val="00F77674"/>
    <w:rsid w:val="00F81BF4"/>
    <w:rsid w:val="00F83862"/>
    <w:rsid w:val="00F901A2"/>
    <w:rsid w:val="00F91FBF"/>
    <w:rsid w:val="00F963B9"/>
    <w:rsid w:val="00F97C41"/>
    <w:rsid w:val="00FA1FCF"/>
    <w:rsid w:val="00FA2D04"/>
    <w:rsid w:val="00FA3B3B"/>
    <w:rsid w:val="00FB0E2A"/>
    <w:rsid w:val="00FB330A"/>
    <w:rsid w:val="00FB67CE"/>
    <w:rsid w:val="00FC24BF"/>
    <w:rsid w:val="00FC68B7"/>
    <w:rsid w:val="00FD318A"/>
    <w:rsid w:val="00FD59D6"/>
    <w:rsid w:val="00FD5B18"/>
    <w:rsid w:val="00FD5E86"/>
    <w:rsid w:val="00FE22FC"/>
    <w:rsid w:val="00FE2CB1"/>
    <w:rsid w:val="00FE2D96"/>
    <w:rsid w:val="00FE3507"/>
    <w:rsid w:val="00FE4B5D"/>
    <w:rsid w:val="00FE4E8E"/>
    <w:rsid w:val="00FE50EE"/>
    <w:rsid w:val="00FE540C"/>
    <w:rsid w:val="00FE5468"/>
    <w:rsid w:val="00FF2118"/>
    <w:rsid w:val="00FF3D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510B95"/>
  <w15:docId w15:val="{E1269BD2-44B8-4E42-ACE4-03C9DA3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20159E"/>
    <w:pPr>
      <w:suppressAutoHyphens/>
      <w:spacing w:line="240" w:lineRule="atLeast"/>
    </w:pPr>
    <w:rPr>
      <w:lang w:val="nl-NL" w:eastAsia="en-US"/>
    </w:rPr>
  </w:style>
  <w:style w:type="paragraph" w:styleId="Kop1">
    <w:name w:val="heading 1"/>
    <w:aliases w:val="Table_G"/>
    <w:basedOn w:val="SingleTxtG"/>
    <w:next w:val="SingleTxtG"/>
    <w:link w:val="Kop1Char"/>
    <w:qFormat/>
    <w:rsid w:val="00B75D73"/>
    <w:pPr>
      <w:spacing w:after="0" w:line="240" w:lineRule="auto"/>
      <w:ind w:right="0"/>
      <w:jc w:val="left"/>
      <w:outlineLvl w:val="0"/>
    </w:pPr>
  </w:style>
  <w:style w:type="paragraph" w:styleId="Kop2">
    <w:name w:val="heading 2"/>
    <w:basedOn w:val="Standaard"/>
    <w:next w:val="Standaard"/>
    <w:link w:val="Kop2Char"/>
    <w:qFormat/>
    <w:rsid w:val="00B75D73"/>
    <w:pPr>
      <w:spacing w:line="240" w:lineRule="auto"/>
      <w:outlineLvl w:val="1"/>
    </w:pPr>
  </w:style>
  <w:style w:type="paragraph" w:styleId="Kop3">
    <w:name w:val="heading 3"/>
    <w:basedOn w:val="Standaard"/>
    <w:next w:val="Standaard"/>
    <w:link w:val="Kop3Char"/>
    <w:qFormat/>
    <w:rsid w:val="00B75D73"/>
    <w:pPr>
      <w:spacing w:line="240" w:lineRule="auto"/>
      <w:outlineLvl w:val="2"/>
    </w:pPr>
  </w:style>
  <w:style w:type="paragraph" w:styleId="Kop4">
    <w:name w:val="heading 4"/>
    <w:basedOn w:val="Standaard"/>
    <w:next w:val="Standaard"/>
    <w:link w:val="Kop4Char"/>
    <w:semiHidden/>
    <w:qFormat/>
    <w:rsid w:val="00B75D73"/>
    <w:pPr>
      <w:spacing w:line="240" w:lineRule="auto"/>
      <w:outlineLvl w:val="3"/>
    </w:pPr>
  </w:style>
  <w:style w:type="paragraph" w:styleId="Kop5">
    <w:name w:val="heading 5"/>
    <w:basedOn w:val="Standaard"/>
    <w:next w:val="Standaard"/>
    <w:link w:val="Kop5Char"/>
    <w:semiHidden/>
    <w:qFormat/>
    <w:rsid w:val="00B75D73"/>
    <w:pPr>
      <w:spacing w:line="240" w:lineRule="auto"/>
      <w:outlineLvl w:val="4"/>
    </w:pPr>
  </w:style>
  <w:style w:type="paragraph" w:styleId="Kop6">
    <w:name w:val="heading 6"/>
    <w:basedOn w:val="Standaard"/>
    <w:next w:val="Standaard"/>
    <w:link w:val="Kop6Char"/>
    <w:semiHidden/>
    <w:qFormat/>
    <w:rsid w:val="00B75D73"/>
    <w:pPr>
      <w:spacing w:line="240" w:lineRule="auto"/>
      <w:outlineLvl w:val="5"/>
    </w:pPr>
  </w:style>
  <w:style w:type="paragraph" w:styleId="Kop7">
    <w:name w:val="heading 7"/>
    <w:basedOn w:val="Standaard"/>
    <w:next w:val="Standaard"/>
    <w:link w:val="Kop7Char"/>
    <w:semiHidden/>
    <w:qFormat/>
    <w:rsid w:val="00B75D73"/>
    <w:pPr>
      <w:spacing w:line="240" w:lineRule="auto"/>
      <w:outlineLvl w:val="6"/>
    </w:pPr>
  </w:style>
  <w:style w:type="paragraph" w:styleId="Kop8">
    <w:name w:val="heading 8"/>
    <w:basedOn w:val="Standaard"/>
    <w:next w:val="Standaard"/>
    <w:link w:val="Kop8Char"/>
    <w:semiHidden/>
    <w:qFormat/>
    <w:rsid w:val="00B75D73"/>
    <w:pPr>
      <w:spacing w:line="240" w:lineRule="auto"/>
      <w:outlineLvl w:val="7"/>
    </w:pPr>
  </w:style>
  <w:style w:type="paragraph" w:styleId="Kop9">
    <w:name w:val="heading 9"/>
    <w:basedOn w:val="Standaard"/>
    <w:next w:val="Standaard"/>
    <w:link w:val="Kop9Char"/>
    <w:semiHidden/>
    <w:qFormat/>
    <w:rsid w:val="00B75D73"/>
    <w:pPr>
      <w:spacing w:line="240" w:lineRule="auto"/>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ingleTxtG">
    <w:name w:val="_ Single Txt_G"/>
    <w:basedOn w:val="Standaard"/>
    <w:link w:val="SingleTxtGChar"/>
    <w:qFormat/>
    <w:rsid w:val="00B75D73"/>
    <w:pPr>
      <w:spacing w:after="120"/>
      <w:ind w:left="1134" w:right="1134"/>
      <w:jc w:val="both"/>
    </w:pPr>
  </w:style>
  <w:style w:type="paragraph" w:customStyle="1" w:styleId="HMG">
    <w:name w:val="_ H __M_G"/>
    <w:basedOn w:val="Standaard"/>
    <w:next w:val="Standaard"/>
    <w:qFormat/>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qFormat/>
    <w:rsid w:val="00B75D73"/>
    <w:pPr>
      <w:keepNext/>
      <w:keepLines/>
      <w:tabs>
        <w:tab w:val="right" w:pos="851"/>
      </w:tabs>
      <w:spacing w:before="360" w:after="240" w:line="300" w:lineRule="exact"/>
      <w:ind w:left="1134" w:right="1134" w:hanging="1134"/>
    </w:pPr>
    <w:rPr>
      <w:b/>
      <w:sz w:val="28"/>
    </w:rPr>
  </w:style>
  <w:style w:type="character" w:styleId="Voetnootmarkering">
    <w:name w:val="footnote reference"/>
    <w:aliases w:val="4_G"/>
    <w:basedOn w:val="Standaardalinea-lettertype"/>
    <w:qFormat/>
    <w:rsid w:val="00B75D73"/>
    <w:rPr>
      <w:rFonts w:ascii="Times New Roman" w:hAnsi="Times New Roman"/>
      <w:sz w:val="18"/>
      <w:vertAlign w:val="superscript"/>
    </w:rPr>
  </w:style>
  <w:style w:type="character" w:styleId="Eindnootmarkering">
    <w:name w:val="endnote reference"/>
    <w:aliases w:val="1_G"/>
    <w:basedOn w:val="Voetnootmarkering"/>
    <w:qFormat/>
    <w:rsid w:val="00B75D73"/>
    <w:rPr>
      <w:rFonts w:ascii="Times New Roman" w:hAnsi="Times New Roman"/>
      <w:sz w:val="18"/>
      <w:vertAlign w:val="superscript"/>
    </w:rPr>
  </w:style>
  <w:style w:type="paragraph" w:styleId="Koptekst">
    <w:name w:val="header"/>
    <w:aliases w:val="6_G"/>
    <w:basedOn w:val="Standaard"/>
    <w:link w:val="KoptekstChar"/>
    <w:qFormat/>
    <w:rsid w:val="00B75D73"/>
    <w:pPr>
      <w:pBdr>
        <w:bottom w:val="single" w:sz="4" w:space="4" w:color="auto"/>
      </w:pBdr>
      <w:spacing w:line="240" w:lineRule="auto"/>
    </w:pPr>
    <w:rPr>
      <w:b/>
      <w:sz w:val="18"/>
    </w:rPr>
  </w:style>
  <w:style w:type="table" w:styleId="Tabelraster">
    <w:name w:val="Table Grid"/>
    <w:basedOn w:val="Standaardtabel"/>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Standaardalinea-lettertype"/>
    <w:semiHidden/>
    <w:rsid w:val="00B75D73"/>
    <w:rPr>
      <w:color w:val="auto"/>
      <w:u w:val="none"/>
    </w:rPr>
  </w:style>
  <w:style w:type="character" w:styleId="GevolgdeHyperlink">
    <w:name w:val="FollowedHyperlink"/>
    <w:basedOn w:val="Standaardalinea-lettertype"/>
    <w:semiHidden/>
    <w:rsid w:val="00B75D73"/>
    <w:rPr>
      <w:color w:val="auto"/>
      <w:u w:val="none"/>
    </w:rPr>
  </w:style>
  <w:style w:type="paragraph" w:customStyle="1" w:styleId="SMG">
    <w:name w:val="__S_M_G"/>
    <w:basedOn w:val="Standaard"/>
    <w:next w:val="Standaard"/>
    <w:rsid w:val="00B75D73"/>
    <w:pPr>
      <w:keepNext/>
      <w:keepLines/>
      <w:spacing w:before="240" w:after="240" w:line="420" w:lineRule="exact"/>
      <w:ind w:left="1134" w:right="1134"/>
    </w:pPr>
    <w:rPr>
      <w:b/>
      <w:sz w:val="40"/>
    </w:rPr>
  </w:style>
  <w:style w:type="paragraph" w:customStyle="1" w:styleId="SLG">
    <w:name w:val="__S_L_G"/>
    <w:basedOn w:val="Standaard"/>
    <w:next w:val="Standaard"/>
    <w:rsid w:val="00B75D73"/>
    <w:pPr>
      <w:keepNext/>
      <w:keepLines/>
      <w:spacing w:before="240" w:after="240" w:line="580" w:lineRule="exact"/>
      <w:ind w:left="1134" w:right="1134"/>
    </w:pPr>
    <w:rPr>
      <w:b/>
      <w:sz w:val="56"/>
    </w:rPr>
  </w:style>
  <w:style w:type="paragraph" w:customStyle="1" w:styleId="SSG">
    <w:name w:val="__S_S_G"/>
    <w:basedOn w:val="Standaard"/>
    <w:next w:val="Standaard"/>
    <w:rsid w:val="00B75D73"/>
    <w:pPr>
      <w:keepNext/>
      <w:keepLines/>
      <w:spacing w:before="240" w:after="240" w:line="300" w:lineRule="exact"/>
      <w:ind w:left="1134" w:right="1134"/>
    </w:pPr>
    <w:rPr>
      <w:b/>
      <w:sz w:val="28"/>
    </w:rPr>
  </w:style>
  <w:style w:type="paragraph" w:styleId="Voetnoottekst">
    <w:name w:val="footnote text"/>
    <w:aliases w:val="5_G"/>
    <w:basedOn w:val="Standaard"/>
    <w:link w:val="VoetnoottekstChar"/>
    <w:qFormat/>
    <w:rsid w:val="00B75D73"/>
    <w:pPr>
      <w:tabs>
        <w:tab w:val="right" w:pos="1021"/>
      </w:tabs>
      <w:spacing w:line="220" w:lineRule="exact"/>
      <w:ind w:left="1134" w:right="1134" w:hanging="1134"/>
    </w:pPr>
    <w:rPr>
      <w:sz w:val="18"/>
    </w:rPr>
  </w:style>
  <w:style w:type="paragraph" w:styleId="Eindnoottekst">
    <w:name w:val="endnote text"/>
    <w:aliases w:val="2_G"/>
    <w:basedOn w:val="Voetnoottekst"/>
    <w:link w:val="EindnoottekstChar"/>
    <w:qFormat/>
    <w:rsid w:val="00B75D73"/>
  </w:style>
  <w:style w:type="character" w:styleId="Paginanummer">
    <w:name w:val="page number"/>
    <w:aliases w:val="7_G"/>
    <w:basedOn w:val="Standaardalinea-lettertype"/>
    <w:semiHidden/>
    <w:rsid w:val="00B75D73"/>
    <w:rPr>
      <w:rFonts w:ascii="Times New Roman" w:hAnsi="Times New Roman"/>
      <w:b/>
      <w:sz w:val="18"/>
    </w:rPr>
  </w:style>
  <w:style w:type="paragraph" w:customStyle="1" w:styleId="XLargeG">
    <w:name w:val="__XLarge_G"/>
    <w:basedOn w:val="Standaard"/>
    <w:next w:val="Standaard"/>
    <w:rsid w:val="00B75D73"/>
    <w:pPr>
      <w:keepNext/>
      <w:keepLines/>
      <w:spacing w:before="240" w:after="240" w:line="420" w:lineRule="exact"/>
      <w:ind w:left="1134" w:right="1134"/>
    </w:pPr>
    <w:rPr>
      <w:b/>
      <w:sz w:val="40"/>
    </w:rPr>
  </w:style>
  <w:style w:type="paragraph" w:customStyle="1" w:styleId="Bullet1G">
    <w:name w:val="_Bullet 1_G"/>
    <w:basedOn w:val="Standaard"/>
    <w:qFormat/>
    <w:rsid w:val="00B75D73"/>
    <w:pPr>
      <w:numPr>
        <w:numId w:val="1"/>
      </w:numPr>
      <w:spacing w:after="120"/>
      <w:ind w:right="1134"/>
      <w:jc w:val="both"/>
    </w:pPr>
  </w:style>
  <w:style w:type="paragraph" w:styleId="Voettekst">
    <w:name w:val="footer"/>
    <w:aliases w:val="3_G"/>
    <w:basedOn w:val="Standaard"/>
    <w:link w:val="VoettekstChar"/>
    <w:qFormat/>
    <w:rsid w:val="00B75D73"/>
    <w:pPr>
      <w:spacing w:line="240" w:lineRule="auto"/>
    </w:pPr>
    <w:rPr>
      <w:sz w:val="16"/>
    </w:rPr>
  </w:style>
  <w:style w:type="paragraph" w:customStyle="1" w:styleId="Bullet2G">
    <w:name w:val="_Bullet 2_G"/>
    <w:basedOn w:val="Standaard"/>
    <w:qFormat/>
    <w:rsid w:val="00B75D73"/>
    <w:pPr>
      <w:numPr>
        <w:numId w:val="2"/>
      </w:numPr>
      <w:spacing w:after="120"/>
      <w:ind w:right="1134"/>
      <w:jc w:val="both"/>
    </w:pPr>
  </w:style>
  <w:style w:type="paragraph" w:customStyle="1" w:styleId="H1G">
    <w:name w:val="_ H_1_G"/>
    <w:basedOn w:val="Standaard"/>
    <w:next w:val="Standaard"/>
    <w:qFormat/>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qFormat/>
    <w:rsid w:val="00B75D73"/>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qFormat/>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qFormat/>
    <w:rsid w:val="00B75D73"/>
    <w:pPr>
      <w:keepNext/>
      <w:keepLines/>
      <w:tabs>
        <w:tab w:val="right" w:pos="851"/>
      </w:tabs>
      <w:spacing w:before="240" w:after="120" w:line="240" w:lineRule="exact"/>
      <w:ind w:left="1134" w:right="1134" w:hanging="1134"/>
    </w:pPr>
  </w:style>
  <w:style w:type="paragraph" w:styleId="Ballontekst">
    <w:name w:val="Balloon Text"/>
    <w:basedOn w:val="Standaard"/>
    <w:link w:val="BallontekstChar"/>
    <w:semiHidden/>
    <w:rsid w:val="0020159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20159E"/>
    <w:rPr>
      <w:rFonts w:ascii="Tahoma" w:hAnsi="Tahoma" w:cs="Tahoma"/>
      <w:sz w:val="16"/>
      <w:szCs w:val="16"/>
      <w:lang w:val="nl-NL" w:eastAsia="en-US"/>
    </w:rPr>
  </w:style>
  <w:style w:type="paragraph" w:customStyle="1" w:styleId="ParNoG">
    <w:name w:val="_ParNo_G"/>
    <w:basedOn w:val="SingleTxtG"/>
    <w:qFormat/>
    <w:rsid w:val="00747AEA"/>
    <w:pPr>
      <w:numPr>
        <w:numId w:val="3"/>
      </w:numPr>
      <w:kinsoku w:val="0"/>
      <w:overflowPunct w:val="0"/>
      <w:autoSpaceDE w:val="0"/>
      <w:autoSpaceDN w:val="0"/>
      <w:adjustRightInd w:val="0"/>
      <w:snapToGrid w:val="0"/>
    </w:pPr>
  </w:style>
  <w:style w:type="character" w:customStyle="1" w:styleId="Kop1Char">
    <w:name w:val="Kop 1 Char"/>
    <w:aliases w:val="Table_G Char"/>
    <w:basedOn w:val="Standaardalinea-lettertype"/>
    <w:link w:val="Kop1"/>
    <w:rsid w:val="004E782F"/>
    <w:rPr>
      <w:lang w:val="nl-NL" w:eastAsia="en-US"/>
    </w:rPr>
  </w:style>
  <w:style w:type="character" w:customStyle="1" w:styleId="Kop2Char">
    <w:name w:val="Kop 2 Char"/>
    <w:basedOn w:val="Standaardalinea-lettertype"/>
    <w:link w:val="Kop2"/>
    <w:semiHidden/>
    <w:rsid w:val="004E782F"/>
    <w:rPr>
      <w:lang w:val="nl-NL" w:eastAsia="en-US"/>
    </w:rPr>
  </w:style>
  <w:style w:type="character" w:customStyle="1" w:styleId="Kop3Char">
    <w:name w:val="Kop 3 Char"/>
    <w:basedOn w:val="Standaardalinea-lettertype"/>
    <w:link w:val="Kop3"/>
    <w:semiHidden/>
    <w:rsid w:val="004E782F"/>
    <w:rPr>
      <w:lang w:val="nl-NL" w:eastAsia="en-US"/>
    </w:rPr>
  </w:style>
  <w:style w:type="character" w:customStyle="1" w:styleId="Kop4Char">
    <w:name w:val="Kop 4 Char"/>
    <w:basedOn w:val="Standaardalinea-lettertype"/>
    <w:link w:val="Kop4"/>
    <w:semiHidden/>
    <w:rsid w:val="004E782F"/>
    <w:rPr>
      <w:lang w:val="nl-NL" w:eastAsia="en-US"/>
    </w:rPr>
  </w:style>
  <w:style w:type="character" w:customStyle="1" w:styleId="Kop5Char">
    <w:name w:val="Kop 5 Char"/>
    <w:basedOn w:val="Standaardalinea-lettertype"/>
    <w:link w:val="Kop5"/>
    <w:semiHidden/>
    <w:rsid w:val="004E782F"/>
    <w:rPr>
      <w:lang w:val="nl-NL" w:eastAsia="en-US"/>
    </w:rPr>
  </w:style>
  <w:style w:type="character" w:customStyle="1" w:styleId="Kop6Char">
    <w:name w:val="Kop 6 Char"/>
    <w:basedOn w:val="Standaardalinea-lettertype"/>
    <w:link w:val="Kop6"/>
    <w:semiHidden/>
    <w:rsid w:val="004E782F"/>
    <w:rPr>
      <w:lang w:val="nl-NL" w:eastAsia="en-US"/>
    </w:rPr>
  </w:style>
  <w:style w:type="character" w:customStyle="1" w:styleId="Kop7Char">
    <w:name w:val="Kop 7 Char"/>
    <w:basedOn w:val="Standaardalinea-lettertype"/>
    <w:link w:val="Kop7"/>
    <w:semiHidden/>
    <w:rsid w:val="004E782F"/>
    <w:rPr>
      <w:lang w:val="nl-NL" w:eastAsia="en-US"/>
    </w:rPr>
  </w:style>
  <w:style w:type="character" w:customStyle="1" w:styleId="Kop8Char">
    <w:name w:val="Kop 8 Char"/>
    <w:basedOn w:val="Standaardalinea-lettertype"/>
    <w:link w:val="Kop8"/>
    <w:semiHidden/>
    <w:rsid w:val="004E782F"/>
    <w:rPr>
      <w:lang w:val="nl-NL" w:eastAsia="en-US"/>
    </w:rPr>
  </w:style>
  <w:style w:type="character" w:customStyle="1" w:styleId="Kop9Char">
    <w:name w:val="Kop 9 Char"/>
    <w:basedOn w:val="Standaardalinea-lettertype"/>
    <w:link w:val="Kop9"/>
    <w:semiHidden/>
    <w:rsid w:val="004E782F"/>
    <w:rPr>
      <w:lang w:val="nl-NL" w:eastAsia="en-US"/>
    </w:rPr>
  </w:style>
  <w:style w:type="character" w:customStyle="1" w:styleId="KoptekstChar">
    <w:name w:val="Koptekst Char"/>
    <w:aliases w:val="6_G Char"/>
    <w:basedOn w:val="Standaardalinea-lettertype"/>
    <w:link w:val="Koptekst"/>
    <w:rsid w:val="004E782F"/>
    <w:rPr>
      <w:b/>
      <w:sz w:val="18"/>
      <w:lang w:val="nl-NL" w:eastAsia="en-US"/>
    </w:rPr>
  </w:style>
  <w:style w:type="character" w:customStyle="1" w:styleId="VoetnoottekstChar">
    <w:name w:val="Voetnoottekst Char"/>
    <w:aliases w:val="5_G Char"/>
    <w:basedOn w:val="Standaardalinea-lettertype"/>
    <w:link w:val="Voetnoottekst"/>
    <w:rsid w:val="004E782F"/>
    <w:rPr>
      <w:sz w:val="18"/>
      <w:lang w:val="nl-NL" w:eastAsia="en-US"/>
    </w:rPr>
  </w:style>
  <w:style w:type="character" w:customStyle="1" w:styleId="EindnoottekstChar">
    <w:name w:val="Eindnoottekst Char"/>
    <w:aliases w:val="2_G Char"/>
    <w:basedOn w:val="Standaardalinea-lettertype"/>
    <w:link w:val="Eindnoottekst"/>
    <w:rsid w:val="004E782F"/>
    <w:rPr>
      <w:sz w:val="18"/>
      <w:lang w:val="nl-NL" w:eastAsia="en-US"/>
    </w:rPr>
  </w:style>
  <w:style w:type="character" w:customStyle="1" w:styleId="VoettekstChar">
    <w:name w:val="Voettekst Char"/>
    <w:aliases w:val="3_G Char"/>
    <w:basedOn w:val="Standaardalinea-lettertype"/>
    <w:link w:val="Voettekst"/>
    <w:rsid w:val="004E782F"/>
    <w:rPr>
      <w:sz w:val="16"/>
      <w:lang w:val="nl-NL" w:eastAsia="en-US"/>
    </w:rPr>
  </w:style>
  <w:style w:type="character" w:styleId="Verwijzingopmerking">
    <w:name w:val="annotation reference"/>
    <w:basedOn w:val="Standaardalinea-lettertype"/>
    <w:semiHidden/>
    <w:unhideWhenUsed/>
    <w:rsid w:val="004E782F"/>
    <w:rPr>
      <w:sz w:val="16"/>
      <w:szCs w:val="16"/>
    </w:rPr>
  </w:style>
  <w:style w:type="paragraph" w:styleId="Tekstopmerking">
    <w:name w:val="annotation text"/>
    <w:basedOn w:val="Standaard"/>
    <w:link w:val="TekstopmerkingChar"/>
    <w:unhideWhenUsed/>
    <w:rsid w:val="004E782F"/>
    <w:pPr>
      <w:spacing w:line="240" w:lineRule="auto"/>
    </w:pPr>
  </w:style>
  <w:style w:type="character" w:customStyle="1" w:styleId="TekstopmerkingChar">
    <w:name w:val="Tekst opmerking Char"/>
    <w:basedOn w:val="Standaardalinea-lettertype"/>
    <w:link w:val="Tekstopmerking"/>
    <w:rsid w:val="004E782F"/>
    <w:rPr>
      <w:lang w:val="nl-NL" w:eastAsia="en-US"/>
    </w:rPr>
  </w:style>
  <w:style w:type="paragraph" w:styleId="Onderwerpvanopmerking">
    <w:name w:val="annotation subject"/>
    <w:basedOn w:val="Tekstopmerking"/>
    <w:next w:val="Tekstopmerking"/>
    <w:link w:val="OnderwerpvanopmerkingChar"/>
    <w:semiHidden/>
    <w:unhideWhenUsed/>
    <w:rsid w:val="004E782F"/>
    <w:rPr>
      <w:b/>
      <w:bCs/>
    </w:rPr>
  </w:style>
  <w:style w:type="character" w:customStyle="1" w:styleId="OnderwerpvanopmerkingChar">
    <w:name w:val="Onderwerp van opmerking Char"/>
    <w:basedOn w:val="TekstopmerkingChar"/>
    <w:link w:val="Onderwerpvanopmerking"/>
    <w:semiHidden/>
    <w:rsid w:val="004E782F"/>
    <w:rPr>
      <w:b/>
      <w:bCs/>
      <w:lang w:val="nl-NL" w:eastAsia="en-US"/>
    </w:rPr>
  </w:style>
  <w:style w:type="character" w:customStyle="1" w:styleId="SingleTxtGChar">
    <w:name w:val="_ Single Txt_G Char"/>
    <w:basedOn w:val="Standaardalinea-lettertype"/>
    <w:link w:val="SingleTxtG"/>
    <w:locked/>
    <w:rsid w:val="004E782F"/>
    <w:rPr>
      <w:lang w:val="nl-NL" w:eastAsia="en-US"/>
    </w:rPr>
  </w:style>
  <w:style w:type="character" w:styleId="Nadruk">
    <w:name w:val="Emphasis"/>
    <w:basedOn w:val="Standaardalinea-lettertype"/>
    <w:uiPriority w:val="20"/>
    <w:qFormat/>
    <w:rsid w:val="004E782F"/>
    <w:rPr>
      <w:i/>
      <w:iCs/>
    </w:rPr>
  </w:style>
  <w:style w:type="paragraph" w:styleId="Lijstalinea">
    <w:name w:val="List Paragraph"/>
    <w:basedOn w:val="Standaard"/>
    <w:uiPriority w:val="34"/>
    <w:qFormat/>
    <w:rsid w:val="00FC24BF"/>
    <w:pPr>
      <w:suppressAutoHyphens w:val="0"/>
      <w:spacing w:after="160" w:line="259" w:lineRule="auto"/>
      <w:ind w:left="720"/>
      <w:contextualSpacing/>
    </w:pPr>
    <w:rPr>
      <w:rFonts w:asciiTheme="minorHAnsi" w:eastAsiaTheme="minorHAnsi" w:hAnsiTheme="minorHAnsi" w:cstheme="minorBidi"/>
      <w:sz w:val="22"/>
      <w:szCs w:val="22"/>
      <w:lang w:val="nl-NL"/>
    </w:rPr>
  </w:style>
  <w:style w:type="character" w:customStyle="1" w:styleId="m-758848175382202831gmail-il">
    <w:name w:val="m_-758848175382202831gmail-il"/>
    <w:basedOn w:val="Standaardalinea-lettertype"/>
    <w:rsid w:val="00C73D07"/>
  </w:style>
  <w:style w:type="paragraph" w:styleId="Revisie">
    <w:name w:val="Revision"/>
    <w:hidden/>
    <w:uiPriority w:val="99"/>
    <w:semiHidden/>
    <w:rsid w:val="00451025"/>
    <w:rPr>
      <w:lang w:val="nl-NL" w:eastAsia="en-US"/>
    </w:rPr>
  </w:style>
  <w:style w:type="paragraph" w:customStyle="1" w:styleId="Rom1">
    <w:name w:val="Rom1"/>
    <w:basedOn w:val="Standaard"/>
    <w:pPr>
      <w:numPr>
        <w:numId w:val="40"/>
      </w:numPr>
      <w:tabs>
        <w:tab w:val="clear" w:pos="1440"/>
      </w:tabs>
      <w:suppressAutoHyphens w:val="0"/>
      <w:spacing w:after="240" w:line="240" w:lineRule="auto"/>
      <w:ind w:left="1135" w:hanging="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6209">
      <w:bodyDiv w:val="1"/>
      <w:marLeft w:val="0"/>
      <w:marRight w:val="0"/>
      <w:marTop w:val="0"/>
      <w:marBottom w:val="0"/>
      <w:divBdr>
        <w:top w:val="none" w:sz="0" w:space="0" w:color="auto"/>
        <w:left w:val="none" w:sz="0" w:space="0" w:color="auto"/>
        <w:bottom w:val="none" w:sz="0" w:space="0" w:color="auto"/>
        <w:right w:val="none" w:sz="0" w:space="0" w:color="auto"/>
      </w:divBdr>
      <w:divsChild>
        <w:div w:id="5420533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C\CRC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B2A6-3CB1-4D4D-81BB-47FCC0281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B586C1-395C-4320-90A4-FD63313B60C4}">
  <ds:schemaRefs>
    <ds:schemaRef ds:uri="http://schemas.microsoft.com/sharepoint/v3/contenttype/forms"/>
  </ds:schemaRefs>
</ds:datastoreItem>
</file>

<file path=customXml/itemProps3.xml><?xml version="1.0" encoding="utf-8"?>
<ds:datastoreItem xmlns:ds="http://schemas.openxmlformats.org/officeDocument/2006/customXml" ds:itemID="{62949918-A69C-4AB6-BBEF-B3DF0AE5CA0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203A0C-7E08-40EF-A0DD-66F41B65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CRC_E.dotm</Template>
  <TotalTime>0</TotalTime>
  <Pages>19</Pages>
  <Words>10575</Words>
  <Characters>60280</Characters>
  <Application>Microsoft Office Word</Application>
  <DocSecurity>0</DocSecurity>
  <Lines>502</Lines>
  <Paragraphs>141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CRC/C/GC/24</vt:lpstr>
      <vt:lpstr>CRC/C/GC/24</vt:lpstr>
      <vt:lpstr/>
    </vt:vector>
  </TitlesOfParts>
  <Company>CSD</Company>
  <LinksUpToDate>false</LinksUpToDate>
  <CharactersWithSpaces>70714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CRC/C/GC/24</dc:title>
  <dc:subject/>
  <dc:creator>BOIT James</dc:creator>
  <cp:keywords/>
  <dc:description/>
  <cp:lastModifiedBy>AVB</cp:lastModifiedBy>
  <cp:revision>3</cp:revision>
  <cp:lastPrinted>2019-09-17T14:40:00Z</cp:lastPrinted>
  <dcterms:created xsi:type="dcterms:W3CDTF">2019-09-23T09:50:00Z</dcterms:created>
  <dcterms:modified xsi:type="dcterms:W3CDTF">2019-09-27T08:33:00Z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