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5532F3" w14:textId="77777777" w:rsidR="008F2A2E" w:rsidRDefault="008F2A2E"/>
    <w:tbl>
      <w:tblPr>
        <w:tblStyle w:val="TableGrid"/>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6F0959" w14:paraId="03815CA4" w14:textId="77777777" w:rsidTr="00CD0365">
        <w:trPr>
          <w:trHeight w:val="851"/>
        </w:trPr>
        <w:tc>
          <w:tcPr>
            <w:tcW w:w="1259" w:type="dxa"/>
            <w:tcBorders>
              <w:top w:val="nil"/>
              <w:left w:val="nil"/>
              <w:bottom w:val="single" w:sz="4" w:space="0" w:color="auto"/>
              <w:right w:val="nil"/>
            </w:tcBorders>
          </w:tcPr>
          <w:p w14:paraId="5190546A" w14:textId="77777777" w:rsidR="006F0959" w:rsidRDefault="006F0959" w:rsidP="00CC2385">
            <w:pPr>
              <w:spacing w:after="80" w:line="340" w:lineRule="exact"/>
            </w:pPr>
          </w:p>
        </w:tc>
        <w:tc>
          <w:tcPr>
            <w:tcW w:w="2236" w:type="dxa"/>
            <w:tcBorders>
              <w:top w:val="nil"/>
              <w:left w:val="nil"/>
              <w:bottom w:val="single" w:sz="4" w:space="0" w:color="auto"/>
              <w:right w:val="nil"/>
            </w:tcBorders>
            <w:vAlign w:val="bottom"/>
          </w:tcPr>
          <w:p w14:paraId="290352EE" w14:textId="77777777" w:rsidR="006F0959" w:rsidRDefault="006F0959" w:rsidP="00CC2385">
            <w:pPr>
              <w:spacing w:after="80" w:line="340" w:lineRule="exact"/>
              <w:rPr>
                <w:sz w:val="28"/>
                <w:szCs w:val="28"/>
              </w:rPr>
            </w:pPr>
            <w:r>
              <w:rPr>
                <w:sz w:val="28"/>
                <w:szCs w:val="28"/>
              </w:rPr>
              <w:t>Verenigde Naties</w:t>
            </w:r>
          </w:p>
        </w:tc>
        <w:tc>
          <w:tcPr>
            <w:tcW w:w="6144" w:type="dxa"/>
            <w:gridSpan w:val="2"/>
            <w:tcBorders>
              <w:top w:val="nil"/>
              <w:left w:val="nil"/>
              <w:bottom w:val="single" w:sz="4" w:space="0" w:color="auto"/>
              <w:right w:val="nil"/>
            </w:tcBorders>
            <w:vAlign w:val="bottom"/>
          </w:tcPr>
          <w:p w14:paraId="7F9147ED" w14:textId="77777777" w:rsidR="006F0959" w:rsidRDefault="00D03817" w:rsidP="00D03817">
            <w:pPr>
              <w:suppressAutoHyphens w:val="0"/>
              <w:spacing w:after="20"/>
              <w:jc w:val="right"/>
            </w:pPr>
            <w:r>
              <w:rPr>
                <w:sz w:val="40"/>
              </w:rPr>
              <w:t>CRC</w:t>
            </w:r>
            <w:r>
              <w:t>/C/GC/20</w:t>
            </w:r>
            <w:r>
              <w:rPr>
                <w:rStyle w:val="FootnoteReference"/>
                <w:sz w:val="20"/>
                <w:vertAlign w:val="baseline"/>
              </w:rPr>
              <w:tab/>
            </w:r>
          </w:p>
        </w:tc>
      </w:tr>
      <w:tr w:rsidR="006F0959" w14:paraId="32824E10" w14:textId="77777777" w:rsidTr="00CD0365">
        <w:trPr>
          <w:trHeight w:val="2835"/>
        </w:trPr>
        <w:tc>
          <w:tcPr>
            <w:tcW w:w="1259" w:type="dxa"/>
            <w:tcBorders>
              <w:top w:val="single" w:sz="4" w:space="0" w:color="auto"/>
              <w:left w:val="nil"/>
              <w:bottom w:val="single" w:sz="12" w:space="0" w:color="auto"/>
              <w:right w:val="nil"/>
            </w:tcBorders>
          </w:tcPr>
          <w:p w14:paraId="14CBB7B4" w14:textId="77777777" w:rsidR="006F0959" w:rsidRDefault="006F0959" w:rsidP="00CC2385">
            <w:pPr>
              <w:spacing w:before="120"/>
              <w:jc w:val="center"/>
            </w:pPr>
            <w:r>
              <w:rPr>
                <w:noProof/>
              </w:rPr>
              <w:drawing>
                <wp:inline distT="0" distB="0" distL="0" distR="0" wp14:anchorId="3C2E1DC6" wp14:editId="50391B48">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14:paraId="665329BD" w14:textId="6EF737B8" w:rsidR="006F0959" w:rsidRDefault="006F0959" w:rsidP="00CC2385">
            <w:pPr>
              <w:spacing w:before="120" w:line="420" w:lineRule="exact"/>
              <w:rPr>
                <w:b/>
                <w:sz w:val="40"/>
                <w:szCs w:val="40"/>
              </w:rPr>
            </w:pPr>
            <w:r>
              <w:rPr>
                <w:b/>
                <w:sz w:val="40"/>
                <w:szCs w:val="40"/>
              </w:rPr>
              <w:footnoteReference w:customMarkFollows="1" w:id="1"/>
              <w:t>Verdrag inzake de rechten van het kind</w:t>
            </w:r>
          </w:p>
        </w:tc>
        <w:tc>
          <w:tcPr>
            <w:tcW w:w="2930" w:type="dxa"/>
            <w:tcBorders>
              <w:top w:val="single" w:sz="4" w:space="0" w:color="auto"/>
              <w:left w:val="nil"/>
              <w:bottom w:val="single" w:sz="12" w:space="0" w:color="auto"/>
              <w:right w:val="nil"/>
            </w:tcBorders>
          </w:tcPr>
          <w:p w14:paraId="1F751E17" w14:textId="77777777" w:rsidR="006F0959" w:rsidRDefault="00D03817" w:rsidP="00D03817">
            <w:pPr>
              <w:suppressAutoHyphens w:val="0"/>
              <w:spacing w:before="240" w:line="240" w:lineRule="exact"/>
            </w:pPr>
            <w:r>
              <w:t>Verspr.: Algemeen</w:t>
            </w:r>
          </w:p>
          <w:p w14:paraId="6B101771" w14:textId="77777777" w:rsidR="00D03817" w:rsidRDefault="004B45FD" w:rsidP="00D03817">
            <w:pPr>
              <w:suppressAutoHyphens w:val="0"/>
            </w:pPr>
            <w:r>
              <w:t>6 december 2016</w:t>
            </w:r>
          </w:p>
          <w:p w14:paraId="63604801" w14:textId="77777777" w:rsidR="00D03817" w:rsidRDefault="00D03817" w:rsidP="00D03817">
            <w:pPr>
              <w:suppressAutoHyphens w:val="0"/>
            </w:pPr>
          </w:p>
          <w:p w14:paraId="7FB7353C" w14:textId="77777777" w:rsidR="00D03817" w:rsidRDefault="00D03817" w:rsidP="00D03817">
            <w:pPr>
              <w:suppressAutoHyphens w:val="0"/>
            </w:pPr>
            <w:r>
              <w:t>Origineel: Engels</w:t>
            </w:r>
          </w:p>
        </w:tc>
      </w:tr>
    </w:tbl>
    <w:p w14:paraId="4BF97AAD" w14:textId="77777777" w:rsidR="00646AD7" w:rsidRPr="00646AD7" w:rsidRDefault="00646AD7" w:rsidP="00646AD7">
      <w:pPr>
        <w:spacing w:before="120"/>
        <w:rPr>
          <w:b/>
          <w:bCs/>
          <w:sz w:val="24"/>
          <w:szCs w:val="24"/>
        </w:rPr>
      </w:pPr>
      <w:bookmarkStart w:id="0" w:name="_Toc285723364"/>
      <w:bookmarkStart w:id="1" w:name="_Toc285724519"/>
      <w:bookmarkStart w:id="2" w:name="_Toc285724579"/>
      <w:bookmarkStart w:id="3" w:name="_Toc285724726"/>
      <w:bookmarkStart w:id="4" w:name="_Toc285724983"/>
      <w:r>
        <w:rPr>
          <w:b/>
          <w:bCs/>
          <w:sz w:val="24"/>
          <w:szCs w:val="24"/>
        </w:rPr>
        <w:t>Comité voor de Rechten van het Kind</w:t>
      </w:r>
    </w:p>
    <w:p w14:paraId="3CE427E6" w14:textId="451859C1" w:rsidR="00646AD7" w:rsidRPr="000D51EF" w:rsidRDefault="00646AD7" w:rsidP="00646AD7">
      <w:pPr>
        <w:pStyle w:val="HMG"/>
      </w:pPr>
      <w:r>
        <w:tab/>
      </w:r>
      <w:r>
        <w:tab/>
        <w:t xml:space="preserve">General Comment nr. 20 (2016) over de tenuitvoerlegging van de rechten van het kind tijdens de adolescentie </w:t>
      </w:r>
    </w:p>
    <w:p w14:paraId="17DB6F5C" w14:textId="77777777" w:rsidR="00080F88" w:rsidRPr="00C35878" w:rsidRDefault="00646AD7" w:rsidP="00080F88">
      <w:pPr>
        <w:spacing w:after="120"/>
        <w:rPr>
          <w:sz w:val="28"/>
        </w:rPr>
      </w:pPr>
      <w:r>
        <w:br w:type="page"/>
      </w:r>
      <w:r>
        <w:rPr>
          <w:sz w:val="28"/>
        </w:rPr>
        <w:lastRenderedPageBreak/>
        <w:t>Inhoud</w:t>
      </w:r>
    </w:p>
    <w:p w14:paraId="584BD6DD" w14:textId="77777777" w:rsidR="00080F88" w:rsidRPr="00C35878" w:rsidRDefault="00080F88" w:rsidP="00080F88">
      <w:pPr>
        <w:tabs>
          <w:tab w:val="right" w:pos="9638"/>
        </w:tabs>
        <w:spacing w:after="120"/>
        <w:ind w:left="283"/>
        <w:rPr>
          <w:sz w:val="18"/>
        </w:rPr>
      </w:pPr>
      <w:r>
        <w:rPr>
          <w:i/>
          <w:sz w:val="18"/>
        </w:rPr>
        <w:tab/>
        <w:t>Pagina</w:t>
      </w:r>
    </w:p>
    <w:p w14:paraId="707ED032" w14:textId="77777777" w:rsidR="00646AD7" w:rsidRPr="00C35878" w:rsidRDefault="00646AD7" w:rsidP="00B74EC1">
      <w:pPr>
        <w:tabs>
          <w:tab w:val="right" w:pos="850"/>
          <w:tab w:val="left" w:pos="1134"/>
          <w:tab w:val="left" w:pos="1559"/>
          <w:tab w:val="left" w:pos="1984"/>
          <w:tab w:val="left" w:leader="dot" w:pos="8787"/>
          <w:tab w:val="right" w:pos="9638"/>
        </w:tabs>
        <w:spacing w:after="120"/>
      </w:pPr>
      <w:r>
        <w:tab/>
        <w:t>I.</w:t>
      </w:r>
      <w:r>
        <w:tab/>
        <w:t>Inleiding</w:t>
      </w:r>
      <w:r>
        <w:tab/>
      </w:r>
      <w:r>
        <w:tab/>
        <w:t>3</w:t>
      </w:r>
    </w:p>
    <w:bookmarkEnd w:id="0"/>
    <w:bookmarkEnd w:id="1"/>
    <w:bookmarkEnd w:id="2"/>
    <w:bookmarkEnd w:id="3"/>
    <w:bookmarkEnd w:id="4"/>
    <w:p w14:paraId="4C060E4B" w14:textId="77777777" w:rsidR="00646AD7" w:rsidRPr="00C35878" w:rsidRDefault="00646AD7" w:rsidP="00B74EC1">
      <w:pPr>
        <w:tabs>
          <w:tab w:val="right" w:pos="850"/>
          <w:tab w:val="left" w:pos="1134"/>
          <w:tab w:val="left" w:pos="1559"/>
          <w:tab w:val="left" w:pos="1984"/>
          <w:tab w:val="left" w:leader="dot" w:pos="8787"/>
          <w:tab w:val="right" w:pos="9638"/>
        </w:tabs>
        <w:spacing w:after="120"/>
      </w:pPr>
      <w:r>
        <w:tab/>
        <w:t>II.</w:t>
      </w:r>
      <w:r>
        <w:tab/>
        <w:t>Doelstellingen</w:t>
      </w:r>
      <w:r>
        <w:tab/>
      </w:r>
      <w:r>
        <w:tab/>
        <w:t>4</w:t>
      </w:r>
    </w:p>
    <w:p w14:paraId="1F5F1E1A" w14:textId="77777777" w:rsidR="00646AD7" w:rsidRPr="000D51EF" w:rsidRDefault="00646AD7" w:rsidP="00B74EC1">
      <w:pPr>
        <w:tabs>
          <w:tab w:val="right" w:pos="850"/>
          <w:tab w:val="left" w:pos="1134"/>
          <w:tab w:val="left" w:pos="1559"/>
          <w:tab w:val="left" w:pos="1984"/>
          <w:tab w:val="left" w:leader="dot" w:pos="8787"/>
          <w:tab w:val="right" w:pos="9638"/>
        </w:tabs>
        <w:spacing w:after="120"/>
      </w:pPr>
      <w:r>
        <w:tab/>
        <w:t>III.</w:t>
      </w:r>
      <w:r>
        <w:tab/>
        <w:t>Pleidooi voor adolescenten als aandachtsgebied</w:t>
      </w:r>
      <w:r>
        <w:tab/>
      </w:r>
      <w:r>
        <w:tab/>
        <w:t>4</w:t>
      </w:r>
    </w:p>
    <w:p w14:paraId="1F129088" w14:textId="77777777" w:rsidR="00646AD7" w:rsidRPr="000D51EF" w:rsidRDefault="00646AD7" w:rsidP="00B74EC1">
      <w:pPr>
        <w:tabs>
          <w:tab w:val="right" w:pos="850"/>
          <w:tab w:val="left" w:pos="1134"/>
          <w:tab w:val="left" w:pos="1559"/>
          <w:tab w:val="left" w:pos="1984"/>
          <w:tab w:val="left" w:leader="dot" w:pos="8787"/>
          <w:tab w:val="right" w:pos="9638"/>
        </w:tabs>
        <w:spacing w:after="120"/>
      </w:pPr>
      <w:r>
        <w:tab/>
        <w:t>IV.</w:t>
      </w:r>
      <w:r>
        <w:tab/>
        <w:t>Algemene beginselen van het Verdrag</w:t>
      </w:r>
      <w:r>
        <w:tab/>
      </w:r>
      <w:r>
        <w:tab/>
        <w:t>5</w:t>
      </w:r>
    </w:p>
    <w:p w14:paraId="263F7704" w14:textId="77777777" w:rsidR="00646AD7" w:rsidRPr="000D51EF" w:rsidRDefault="00646AD7" w:rsidP="00B74EC1">
      <w:pPr>
        <w:tabs>
          <w:tab w:val="right" w:pos="850"/>
          <w:tab w:val="left" w:pos="1134"/>
          <w:tab w:val="left" w:pos="1559"/>
          <w:tab w:val="left" w:pos="1984"/>
          <w:tab w:val="left" w:leader="dot" w:pos="8787"/>
          <w:tab w:val="right" w:pos="9638"/>
        </w:tabs>
        <w:spacing w:after="120"/>
      </w:pPr>
      <w:r>
        <w:tab/>
      </w:r>
      <w:r>
        <w:tab/>
        <w:t>A.</w:t>
      </w:r>
      <w:r>
        <w:tab/>
        <w:t>Recht op ontwikkeling</w:t>
      </w:r>
      <w:r>
        <w:tab/>
      </w:r>
      <w:r>
        <w:tab/>
        <w:t>5</w:t>
      </w:r>
    </w:p>
    <w:p w14:paraId="6BC5A479" w14:textId="77777777" w:rsidR="00646AD7" w:rsidRPr="000D51EF" w:rsidRDefault="00646AD7" w:rsidP="00B74EC1">
      <w:pPr>
        <w:tabs>
          <w:tab w:val="right" w:pos="850"/>
          <w:tab w:val="left" w:pos="1134"/>
          <w:tab w:val="left" w:pos="1559"/>
          <w:tab w:val="left" w:pos="1984"/>
          <w:tab w:val="left" w:leader="dot" w:pos="8787"/>
          <w:tab w:val="right" w:pos="9638"/>
        </w:tabs>
        <w:spacing w:after="120"/>
      </w:pPr>
      <w:r>
        <w:tab/>
      </w:r>
      <w:r>
        <w:tab/>
        <w:t>B.</w:t>
      </w:r>
      <w:r>
        <w:tab/>
        <w:t>Non-discriminatie</w:t>
      </w:r>
      <w:r>
        <w:tab/>
      </w:r>
      <w:r>
        <w:tab/>
        <w:t>7</w:t>
      </w:r>
    </w:p>
    <w:p w14:paraId="1843B5DD" w14:textId="77777777" w:rsidR="00646AD7" w:rsidRPr="000D51EF" w:rsidRDefault="00646AD7" w:rsidP="00B74EC1">
      <w:pPr>
        <w:tabs>
          <w:tab w:val="right" w:pos="850"/>
          <w:tab w:val="left" w:pos="1134"/>
          <w:tab w:val="left" w:pos="1559"/>
          <w:tab w:val="left" w:pos="1984"/>
          <w:tab w:val="left" w:leader="dot" w:pos="8787"/>
          <w:tab w:val="right" w:pos="9638"/>
        </w:tabs>
        <w:spacing w:after="120"/>
      </w:pPr>
      <w:r>
        <w:tab/>
      </w:r>
      <w:r>
        <w:tab/>
        <w:t>C.</w:t>
      </w:r>
      <w:r>
        <w:tab/>
        <w:t>Belang van het kind</w:t>
      </w:r>
      <w:r>
        <w:tab/>
      </w:r>
      <w:r>
        <w:tab/>
        <w:t>7</w:t>
      </w:r>
    </w:p>
    <w:p w14:paraId="78A49528" w14:textId="77777777" w:rsidR="00646AD7" w:rsidRPr="000D51EF" w:rsidRDefault="00646AD7" w:rsidP="00B74EC1">
      <w:pPr>
        <w:tabs>
          <w:tab w:val="right" w:pos="850"/>
          <w:tab w:val="left" w:pos="1134"/>
          <w:tab w:val="left" w:pos="1559"/>
          <w:tab w:val="left" w:pos="1984"/>
          <w:tab w:val="left" w:leader="dot" w:pos="8787"/>
          <w:tab w:val="right" w:pos="9638"/>
        </w:tabs>
        <w:spacing w:after="120"/>
      </w:pPr>
      <w:r>
        <w:tab/>
      </w:r>
      <w:r>
        <w:tab/>
        <w:t>D.</w:t>
      </w:r>
      <w:r>
        <w:tab/>
        <w:t>Recht om gehoord te worden en participatierecht</w:t>
      </w:r>
      <w:r>
        <w:tab/>
      </w:r>
      <w:r>
        <w:tab/>
        <w:t>7</w:t>
      </w:r>
    </w:p>
    <w:p w14:paraId="5CFB105F" w14:textId="77777777" w:rsidR="00646AD7" w:rsidRPr="000D51EF" w:rsidRDefault="00646AD7" w:rsidP="00B74EC1">
      <w:pPr>
        <w:tabs>
          <w:tab w:val="right" w:pos="850"/>
          <w:tab w:val="left" w:pos="1134"/>
          <w:tab w:val="left" w:pos="1559"/>
          <w:tab w:val="left" w:pos="1984"/>
          <w:tab w:val="left" w:leader="dot" w:pos="8787"/>
          <w:tab w:val="right" w:pos="9638"/>
        </w:tabs>
        <w:spacing w:after="120"/>
      </w:pPr>
      <w:r>
        <w:tab/>
        <w:t>V.</w:t>
      </w:r>
      <w:r>
        <w:tab/>
        <w:t>Adolescenten die speciale aandacht behoeven</w:t>
      </w:r>
      <w:r>
        <w:tab/>
        <w:t>8</w:t>
      </w:r>
    </w:p>
    <w:p w14:paraId="26AFFBA2" w14:textId="77777777" w:rsidR="00646AD7" w:rsidRPr="000D51EF" w:rsidRDefault="00646AD7" w:rsidP="00B74EC1">
      <w:pPr>
        <w:tabs>
          <w:tab w:val="right" w:pos="850"/>
          <w:tab w:val="left" w:pos="1134"/>
          <w:tab w:val="left" w:pos="1559"/>
          <w:tab w:val="left" w:pos="1984"/>
          <w:tab w:val="left" w:leader="dot" w:pos="8787"/>
          <w:tab w:val="right" w:pos="9638"/>
        </w:tabs>
        <w:spacing w:after="120"/>
      </w:pPr>
      <w:r>
        <w:tab/>
        <w:t>VI.</w:t>
      </w:r>
      <w:r>
        <w:tab/>
        <w:t>Algemene maatregelen van tenuitvoerlegging</w:t>
      </w:r>
      <w:r>
        <w:tab/>
      </w:r>
      <w:r>
        <w:tab/>
        <w:t>10</w:t>
      </w:r>
    </w:p>
    <w:p w14:paraId="485537A3" w14:textId="77777777" w:rsidR="00646AD7" w:rsidRPr="000D51EF" w:rsidRDefault="00646AD7" w:rsidP="00B74EC1">
      <w:pPr>
        <w:tabs>
          <w:tab w:val="right" w:pos="850"/>
          <w:tab w:val="left" w:pos="1134"/>
          <w:tab w:val="left" w:pos="1559"/>
          <w:tab w:val="left" w:pos="1984"/>
          <w:tab w:val="left" w:leader="dot" w:pos="8787"/>
          <w:tab w:val="right" w:pos="9638"/>
        </w:tabs>
        <w:spacing w:after="120"/>
      </w:pPr>
      <w:r>
        <w:tab/>
        <w:t>VII.</w:t>
      </w:r>
      <w:r>
        <w:tab/>
        <w:t>Definitie van het kind</w:t>
      </w:r>
      <w:r>
        <w:tab/>
      </w:r>
      <w:r>
        <w:tab/>
        <w:t>11</w:t>
      </w:r>
    </w:p>
    <w:p w14:paraId="0844547D" w14:textId="77777777" w:rsidR="00646AD7" w:rsidRPr="000D51EF" w:rsidRDefault="00646AD7" w:rsidP="00B74EC1">
      <w:pPr>
        <w:tabs>
          <w:tab w:val="right" w:pos="850"/>
          <w:tab w:val="left" w:pos="1134"/>
          <w:tab w:val="left" w:pos="1559"/>
          <w:tab w:val="left" w:pos="1984"/>
          <w:tab w:val="left" w:leader="dot" w:pos="8787"/>
          <w:tab w:val="right" w:pos="9638"/>
        </w:tabs>
        <w:spacing w:after="120"/>
      </w:pPr>
      <w:r>
        <w:tab/>
        <w:t>VIII.</w:t>
      </w:r>
      <w:r>
        <w:tab/>
        <w:t>Burgerrechten en vrijheden</w:t>
      </w:r>
      <w:r>
        <w:tab/>
      </w:r>
      <w:r>
        <w:tab/>
        <w:t>11</w:t>
      </w:r>
    </w:p>
    <w:p w14:paraId="406A04F2" w14:textId="77777777" w:rsidR="00646AD7" w:rsidRPr="000D51EF" w:rsidRDefault="00363326" w:rsidP="00B74EC1">
      <w:pPr>
        <w:tabs>
          <w:tab w:val="right" w:pos="850"/>
          <w:tab w:val="left" w:pos="1134"/>
          <w:tab w:val="left" w:pos="1559"/>
          <w:tab w:val="left" w:pos="1984"/>
          <w:tab w:val="left" w:leader="dot" w:pos="8787"/>
          <w:tab w:val="right" w:pos="9638"/>
        </w:tabs>
        <w:spacing w:after="120"/>
      </w:pPr>
      <w:r>
        <w:tab/>
        <w:t>IX.</w:t>
      </w:r>
      <w:r>
        <w:tab/>
        <w:t>Geweld tegen kinderen</w:t>
      </w:r>
      <w:r>
        <w:tab/>
      </w:r>
      <w:r>
        <w:tab/>
        <w:t>14</w:t>
      </w:r>
    </w:p>
    <w:p w14:paraId="3E4C80F8" w14:textId="77777777" w:rsidR="00646AD7" w:rsidRPr="000D51EF" w:rsidRDefault="00646AD7" w:rsidP="00B74EC1">
      <w:pPr>
        <w:tabs>
          <w:tab w:val="right" w:pos="850"/>
          <w:tab w:val="left" w:pos="1134"/>
          <w:tab w:val="left" w:pos="1559"/>
          <w:tab w:val="left" w:pos="1984"/>
          <w:tab w:val="left" w:leader="dot" w:pos="8787"/>
          <w:tab w:val="right" w:pos="9638"/>
        </w:tabs>
        <w:spacing w:after="120"/>
      </w:pPr>
      <w:r>
        <w:tab/>
        <w:t>X.</w:t>
      </w:r>
      <w:r>
        <w:tab/>
        <w:t>Gezinsomgeving en alternatieve zorg</w:t>
      </w:r>
      <w:r>
        <w:tab/>
      </w:r>
      <w:r>
        <w:tab/>
        <w:t>14</w:t>
      </w:r>
    </w:p>
    <w:p w14:paraId="17FC87C2" w14:textId="77777777" w:rsidR="00646AD7" w:rsidRPr="000D51EF" w:rsidRDefault="00646AD7" w:rsidP="00B74EC1">
      <w:pPr>
        <w:tabs>
          <w:tab w:val="right" w:pos="850"/>
          <w:tab w:val="left" w:pos="1134"/>
          <w:tab w:val="left" w:pos="1559"/>
          <w:tab w:val="left" w:pos="1984"/>
          <w:tab w:val="left" w:leader="dot" w:pos="8787"/>
          <w:tab w:val="right" w:pos="9638"/>
        </w:tabs>
        <w:spacing w:after="120"/>
      </w:pPr>
      <w:r>
        <w:tab/>
        <w:t>XI.</w:t>
      </w:r>
      <w:r>
        <w:tab/>
        <w:t>Basisgezondheid en welzijn</w:t>
      </w:r>
      <w:r>
        <w:tab/>
      </w:r>
      <w:r>
        <w:tab/>
        <w:t>15</w:t>
      </w:r>
    </w:p>
    <w:p w14:paraId="4DF0D2E6" w14:textId="77777777" w:rsidR="00646AD7" w:rsidRPr="000D51EF" w:rsidRDefault="00646AD7" w:rsidP="00B74EC1">
      <w:pPr>
        <w:tabs>
          <w:tab w:val="right" w:pos="850"/>
          <w:tab w:val="left" w:pos="1134"/>
          <w:tab w:val="left" w:pos="1559"/>
          <w:tab w:val="left" w:pos="1984"/>
          <w:tab w:val="left" w:leader="dot" w:pos="8787"/>
          <w:tab w:val="right" w:pos="9638"/>
        </w:tabs>
        <w:spacing w:after="120"/>
      </w:pPr>
      <w:r>
        <w:tab/>
        <w:t>XII.</w:t>
      </w:r>
      <w:r>
        <w:tab/>
        <w:t>Onderwijs, vrije tijd en culturele activiteiten</w:t>
      </w:r>
      <w:r>
        <w:tab/>
      </w:r>
      <w:r>
        <w:tab/>
        <w:t>18</w:t>
      </w:r>
    </w:p>
    <w:p w14:paraId="2AD7AEF4" w14:textId="77777777" w:rsidR="00646AD7" w:rsidRPr="000D51EF" w:rsidRDefault="00646AD7" w:rsidP="00B74EC1">
      <w:pPr>
        <w:tabs>
          <w:tab w:val="right" w:pos="850"/>
          <w:tab w:val="left" w:pos="1134"/>
          <w:tab w:val="left" w:pos="1559"/>
          <w:tab w:val="left" w:pos="1984"/>
          <w:tab w:val="left" w:leader="dot" w:pos="8787"/>
          <w:tab w:val="right" w:pos="9638"/>
        </w:tabs>
        <w:spacing w:after="120"/>
      </w:pPr>
      <w:r>
        <w:tab/>
        <w:t>XIII.</w:t>
      </w:r>
      <w:r>
        <w:tab/>
        <w:t>Speciale beschermingsmaatregelen</w:t>
      </w:r>
      <w:r>
        <w:tab/>
      </w:r>
      <w:r>
        <w:tab/>
        <w:t>20</w:t>
      </w:r>
    </w:p>
    <w:p w14:paraId="2F5F819C" w14:textId="77777777" w:rsidR="00646AD7" w:rsidRPr="000D51EF" w:rsidRDefault="00646AD7" w:rsidP="00B74EC1">
      <w:pPr>
        <w:tabs>
          <w:tab w:val="right" w:pos="850"/>
          <w:tab w:val="left" w:pos="1134"/>
          <w:tab w:val="left" w:pos="1559"/>
          <w:tab w:val="left" w:pos="1984"/>
          <w:tab w:val="left" w:leader="dot" w:pos="8787"/>
          <w:tab w:val="right" w:pos="9638"/>
        </w:tabs>
        <w:spacing w:after="120"/>
      </w:pPr>
      <w:r>
        <w:tab/>
        <w:t>XIV.</w:t>
      </w:r>
      <w:r>
        <w:tab/>
        <w:t>Internationale samenwerking</w:t>
      </w:r>
      <w:r>
        <w:tab/>
      </w:r>
      <w:r>
        <w:tab/>
        <w:t>23</w:t>
      </w:r>
    </w:p>
    <w:p w14:paraId="7DFC15A2" w14:textId="77777777" w:rsidR="00646AD7" w:rsidRPr="000D51EF" w:rsidRDefault="00646AD7" w:rsidP="00B74EC1">
      <w:pPr>
        <w:tabs>
          <w:tab w:val="right" w:pos="850"/>
          <w:tab w:val="left" w:pos="1134"/>
          <w:tab w:val="left" w:pos="1559"/>
          <w:tab w:val="left" w:pos="1984"/>
          <w:tab w:val="left" w:leader="dot" w:pos="8787"/>
          <w:tab w:val="right" w:pos="9638"/>
        </w:tabs>
        <w:spacing w:after="120"/>
      </w:pPr>
      <w:r>
        <w:tab/>
        <w:t>XV.</w:t>
      </w:r>
      <w:r>
        <w:tab/>
        <w:t>Verspreiding</w:t>
      </w:r>
      <w:r>
        <w:tab/>
      </w:r>
      <w:r>
        <w:tab/>
        <w:t>23</w:t>
      </w:r>
    </w:p>
    <w:p w14:paraId="4AD6F17F" w14:textId="77777777" w:rsidR="00646AD7" w:rsidRPr="000D51EF" w:rsidRDefault="00646AD7" w:rsidP="008648B8">
      <w:pPr>
        <w:pStyle w:val="HChG"/>
      </w:pPr>
      <w:r>
        <w:br w:type="page"/>
      </w:r>
      <w:r>
        <w:lastRenderedPageBreak/>
        <w:tab/>
      </w:r>
      <w:bookmarkStart w:id="5" w:name="_Toc468797232"/>
      <w:r>
        <w:t>I.</w:t>
      </w:r>
      <w:r>
        <w:tab/>
        <w:t>Inleiding</w:t>
      </w:r>
      <w:bookmarkEnd w:id="5"/>
    </w:p>
    <w:p w14:paraId="32FB628A" w14:textId="77777777" w:rsidR="00646AD7" w:rsidRPr="000D51EF" w:rsidRDefault="00646AD7" w:rsidP="00EF5C0B">
      <w:pPr>
        <w:pStyle w:val="SingleTxtG"/>
      </w:pPr>
      <w:r>
        <w:t>1.</w:t>
      </w:r>
      <w:r>
        <w:tab/>
        <w:t>Het Verdrag inzake de rechten van het kind omschrijft het kind als "ieder mens jonger dan achttien jaar, tenzij volgens het op het kind van toepassing zijnde recht de meerderjarigheid eerder wordt bereikt", en benadrukt dat Staten die partij zijn bij het Verdrag de in het Verdrag beschreven rechten voor ieder kind onder hun rechtsbevoegdheid  dienen te eerbiedigen en waarborgen zonder enige discriminatie van welke aard dan ook. Terwijl het Verdrag de rechten van alle personen jonger dan 18 jaar erkent, dient er bij de tenuitvoerlegging van rechten rekening gehouden te worden met de ontwikkeling en zich ontwikkelende vermogens van kinderen. De benadering van hoe de verwezenlijking van de rechten van adolescenten wordt gewaarborgd is heel anders dan die voor de verwezenlijking van de rechten van jongere kinderen.</w:t>
      </w:r>
    </w:p>
    <w:p w14:paraId="710013F5" w14:textId="77777777" w:rsidR="00646AD7" w:rsidRPr="000D51EF" w:rsidRDefault="00646AD7" w:rsidP="00EF5C0B">
      <w:pPr>
        <w:pStyle w:val="SingleTxtG"/>
      </w:pPr>
      <w:r>
        <w:t>2.</w:t>
      </w:r>
      <w:r>
        <w:tab/>
        <w:t>Adolescentie is een fase van het leven die gekenmerkt wordt door toenemende kansen, vermogens, ambities, energie en creativiteit, maar ook door grote kwetsbaarheid. Adolescenten brengen veranderingen teweeg en zijn een belangrijke troef en hulpmiddel die potentieel positief kunnen bijdragen aan hun gezin of familie, hun gemeenschap en hun land. Wereldwijd zijn adolescenten op velerlei gebied actief betrokken, zoals in gezondheidszorg- en onderwijscampagnes, gezinsondersteuning, voorlichting aan leeftijdsgenoten, buurt- en wijkontwikkeling,  inspraak in budgetten,  en creatieve activiteiten, en zij dragen bij aan vrede, mensenrechten, een duurzaam milieu en klimaatrechtvaardigheid. Veel adolescenten behoren tot de  absolute voorhoede van de digitale en mediawereld die steeds meer een centrale rol vormt in hun opvoeding, cultuur en sociale netwerken, en zij hebben potentie als het gaat om politieke betrokkenheid en de controle op verantwoording.</w:t>
      </w:r>
    </w:p>
    <w:p w14:paraId="2B0A9750" w14:textId="77777777" w:rsidR="00646AD7" w:rsidRPr="000D51EF" w:rsidRDefault="00646AD7" w:rsidP="00EF5C0B">
      <w:pPr>
        <w:pStyle w:val="SingleTxtG"/>
      </w:pPr>
      <w:r>
        <w:t>3.</w:t>
      </w:r>
      <w:r>
        <w:tab/>
        <w:t xml:space="preserve">Het Comité merkt op dat het potentieel van adolescenten  op veel plaatsen  wordt aangetast doordat Staten die partij zijn niet de maatregelen onderkennen of erin investeren die adolescenten nodig hebben om gebruik te kunnen maken van hun rechten. Gegevens die zijn uitgesplitst naar leeftijd, geslacht en beperking zijn in de meeste landen niet voorhanden om beleid op te baseren, hiaten op te sporen en de toewijzing van de juiste middelen voor adolescenten te ondersteunen. Generiek beleid voor kinderen of jonge mensen is vaak niet van toepassing op adolescenten in al hun verscheidenheid en is niet voldoende om de verwezenlijking van hun rechten te garanderen. De kosten van niets doen of nalatigheid zijn hoog: de fundamenten die tijdens de adolescentie zijn aangebracht voor emotionele veiligheid, gezondheid, seksualiteit, onderwijs, vaardigheden, weerbaarheid en inzicht in rechten hebben ingrijpende gevolgen voor hun individuele ontwikkeling en voor hun huidige en toekomstige sociale en economische ontwikkeling. </w:t>
      </w:r>
    </w:p>
    <w:p w14:paraId="505BB4E6" w14:textId="77777777" w:rsidR="00646AD7" w:rsidRPr="000D51EF" w:rsidRDefault="00646AD7" w:rsidP="00EF5C0B">
      <w:pPr>
        <w:pStyle w:val="SingleTxtG"/>
      </w:pPr>
      <w:r>
        <w:t>4.</w:t>
      </w:r>
      <w:r>
        <w:tab/>
        <w:t xml:space="preserve">In het huidige General Comment biedt het Comité richtlijnen voor Staten die partij zijn voor maatregelen die noodzakelijk zijn voor het waarborgen van de verwezenlijking van de rechten van kinderen tijdens de adolescentie, ook met het oog op de Agenda 2030 voor Duurzame Ontwikkeling. Deze agenda benadrukt het belang van een op mensenrechten gebaseerde benadering, ook met erkenning en respect voor de waardigheid en eigen inzet van adolescenten, het actief ondersteunen daarvan, burgerschap en actieve participatie aan hun eigen leven; de bevordering van een optimale  gezondheid, welzijn en ontwikkeling; en een verplichting aan de bevordering, bescherming en vervulling van hun mensenrechten, zonder enige vorm van discriminatie. </w:t>
      </w:r>
    </w:p>
    <w:p w14:paraId="6937B76A" w14:textId="77777777" w:rsidR="00646AD7" w:rsidRPr="000D51EF" w:rsidRDefault="00646AD7" w:rsidP="008E2B25">
      <w:pPr>
        <w:pStyle w:val="SingleTxtG"/>
      </w:pPr>
      <w:r>
        <w:t>5.</w:t>
      </w:r>
      <w:r>
        <w:tab/>
        <w:t xml:space="preserve">Het Comité erkent dat adolescentie niet gemakkelijk te omschrijven is en dat kinderen allemaal op een andere leeftijd volwassen worden. De puberteit vindt voor jongens en meisjes op een andere leeftijd plaats en verschillende hersenfuncties rijpen op een ander moment. Context en omgeving zijn van invloed op het overgangsproces van jeugd naar volwassenheid, zoals blijkt uit de brede variatie van wat adolescenten op cultureel gebied mogen verwachten van de wetgeving in eigen land, die heel verschillende drempels heeft voor deelname aan volwassen activiteiten, en van allerlei internationale organisaties, die gebruikmaken van </w:t>
      </w:r>
      <w:r>
        <w:lastRenderedPageBreak/>
        <w:t>allerlei verschillende leeftijdsgrenzen om de adolescentie aan te duiden. Het huidige General Comment wil daarom niet adolescentie omschrijven maar richt zich in plaats daarvan op de periode van de jeugd van tien tot achttien jaar om consistente gegevensverzameling mogelijk te maken.</w:t>
      </w:r>
      <w:r w:rsidRPr="00D8466A">
        <w:rPr>
          <w:rStyle w:val="FootnoteReference"/>
        </w:rPr>
        <w:footnoteReference w:id="2"/>
      </w:r>
      <w:r>
        <w:t xml:space="preserve"> </w:t>
      </w:r>
    </w:p>
    <w:p w14:paraId="198451E0" w14:textId="77777777" w:rsidR="00646AD7" w:rsidRPr="000D51EF" w:rsidRDefault="00646AD7" w:rsidP="00EF5C0B">
      <w:pPr>
        <w:pStyle w:val="SingleTxtG"/>
      </w:pPr>
      <w:r>
        <w:t>6.</w:t>
      </w:r>
      <w:r>
        <w:tab/>
        <w:t>Het Comité merkt op dat meerdere</w:t>
      </w:r>
      <w:r>
        <w:rPr>
          <w:i/>
        </w:rPr>
        <w:t xml:space="preserve"> </w:t>
      </w:r>
      <w:r>
        <w:t xml:space="preserve">General Comments van bijzondere betekenis zijn voor adolescenten, vooral waar ze betrekking hebben op de gezondheid en ontwikkeling van adolescenten, hiv/aids, praktijken waardoor ze ontworteld raken  die met name schadelijk zijn voor vrouwen en kinderen, niet-begeleide en alleenstaande kinderen en jeugdrechtspraak. Het Comité benadrukt het bijzondere belang voor adolescenten van de aanbevelingen die voortkomen uit de algemene besprekingen over digitale media en de rechten van kinderen. Het huidige General Comment is ontwikkeld om een overzicht te geven van hoe het Verdrag in zijn totaliteit verstaan en ten uitvoer gelegd dient te worden met betrekking tot alle adolescenten, en dient gelezen te worden samen met andere General Comments en met documenten die het resultaat zijn van de algemene besprekingen. </w:t>
      </w:r>
    </w:p>
    <w:p w14:paraId="0445B53A" w14:textId="77777777" w:rsidR="00646AD7" w:rsidRPr="000D51EF" w:rsidRDefault="00646AD7" w:rsidP="00922F0A">
      <w:pPr>
        <w:pStyle w:val="HChG"/>
      </w:pPr>
      <w:r>
        <w:tab/>
      </w:r>
      <w:bookmarkStart w:id="6" w:name="_Toc468797233"/>
      <w:r>
        <w:t>II.</w:t>
      </w:r>
      <w:r>
        <w:tab/>
        <w:t>Doelstellingen</w:t>
      </w:r>
      <w:bookmarkEnd w:id="6"/>
      <w:r>
        <w:t xml:space="preserve"> </w:t>
      </w:r>
    </w:p>
    <w:p w14:paraId="0146240D" w14:textId="77777777" w:rsidR="00646AD7" w:rsidRPr="000D51EF" w:rsidRDefault="00646AD7" w:rsidP="00EF5C0B">
      <w:pPr>
        <w:pStyle w:val="SingleTxtG"/>
      </w:pPr>
      <w:r>
        <w:t>7.</w:t>
      </w:r>
      <w:r>
        <w:tab/>
        <w:t>De doelstellingen van het huidige General Comment zijn:</w:t>
      </w:r>
    </w:p>
    <w:p w14:paraId="7AE1C01D" w14:textId="77777777" w:rsidR="00646AD7" w:rsidRPr="000D51EF" w:rsidRDefault="00922F0A" w:rsidP="00922F0A">
      <w:pPr>
        <w:pStyle w:val="SingleTxtG"/>
      </w:pPr>
      <w:r>
        <w:tab/>
        <w:t>(a)</w:t>
      </w:r>
      <w:r>
        <w:tab/>
        <w:t>Staten die partij zijn richtlijnen verschaffen inzake wetgeving, beleid en diensten die benodigd zijn voor de allesomvattende ontwikkeling van adolescenten overeenkomstig de verwezenlijking van hun rechten;</w:t>
      </w:r>
    </w:p>
    <w:p w14:paraId="41941DFC" w14:textId="77777777" w:rsidR="00646AD7" w:rsidRPr="000D51EF" w:rsidRDefault="00922F0A" w:rsidP="00922F0A">
      <w:pPr>
        <w:pStyle w:val="SingleTxtG"/>
      </w:pPr>
      <w:r>
        <w:tab/>
        <w:t>(b)</w:t>
      </w:r>
      <w:r>
        <w:tab/>
        <w:t>Bekendheid creëren met de kansen die geboden worden en de uitdagingen die zich voordoen tijdens de adolescentie;</w:t>
      </w:r>
    </w:p>
    <w:p w14:paraId="6A4F1EE4" w14:textId="77777777" w:rsidR="00646AD7" w:rsidRPr="000D51EF" w:rsidRDefault="00922F0A" w:rsidP="00922F0A">
      <w:pPr>
        <w:pStyle w:val="SingleTxtG"/>
      </w:pPr>
      <w:r>
        <w:tab/>
        <w:t>(c)</w:t>
      </w:r>
      <w:r>
        <w:tab/>
        <w:t xml:space="preserve">Het begrip en respect voor de zich ontwikkelende vermogens van adolescenten en de gevolgen daarvan voor de verwezenlijking van hun rechten vergroten; </w:t>
      </w:r>
    </w:p>
    <w:p w14:paraId="78610291" w14:textId="77777777" w:rsidR="00646AD7" w:rsidRPr="000D51EF" w:rsidRDefault="00922F0A" w:rsidP="00922F0A">
      <w:pPr>
        <w:pStyle w:val="SingleTxtG"/>
      </w:pPr>
      <w:r>
        <w:tab/>
        <w:t>(d)</w:t>
      </w:r>
      <w:r>
        <w:tab/>
        <w:t>Grotere zichtbaarheid en kennis van adolescenten bepleiten, alsmede meer investeringen, om hen in staat te stellen hun rechten te verwezenlijken gedurende hun leven.</w:t>
      </w:r>
    </w:p>
    <w:p w14:paraId="3CAC6A8A" w14:textId="77777777" w:rsidR="00646AD7" w:rsidRPr="000D51EF" w:rsidRDefault="00646AD7" w:rsidP="00922F0A">
      <w:pPr>
        <w:pStyle w:val="HChG"/>
      </w:pPr>
      <w:r>
        <w:tab/>
      </w:r>
      <w:bookmarkStart w:id="7" w:name="_Toc468797234"/>
      <w:r>
        <w:t>III.</w:t>
      </w:r>
      <w:r>
        <w:tab/>
        <w:t>Pleidooi voor adolescenten als aandachtsgebied</w:t>
      </w:r>
      <w:bookmarkEnd w:id="7"/>
    </w:p>
    <w:p w14:paraId="3D7FFF55" w14:textId="77777777" w:rsidR="00646AD7" w:rsidRPr="000D51EF" w:rsidRDefault="00646AD7" w:rsidP="00EF5C0B">
      <w:pPr>
        <w:pStyle w:val="SingleTxtG"/>
      </w:pPr>
      <w:r>
        <w:t>8.</w:t>
      </w:r>
      <w:r>
        <w:tab/>
        <w:t xml:space="preserve">Het Comité vestigt de aandacht van Staten die partij zijn op het krachtige pleidooi voor een focus op adolescenten om de verwezenlijking van hun rechten te bevorderen, hun potentiële bijdrage aan positieve en progressieve sociale transformatie te versterken en de uitdagingen waarmee zij worden geconfronteerd in de overgang van kindertijd naar volwassenheid te overwinnen in een steeds meer gemondialiseerde en complexe wereld. </w:t>
      </w:r>
    </w:p>
    <w:p w14:paraId="7273397E" w14:textId="77777777" w:rsidR="00646AD7" w:rsidRPr="000D51EF" w:rsidRDefault="00646AD7" w:rsidP="00EF5C0B">
      <w:pPr>
        <w:pStyle w:val="SingleTxtG"/>
      </w:pPr>
      <w:r>
        <w:t>9.</w:t>
      </w:r>
      <w:r>
        <w:tab/>
        <w:t>Adolescenten maken een snelle ontwikkelingscurve door. Het belang van de veranderingen in de ontwikkeling tijdens de adolescentie wordt nog niet zo breed ingezien als dat van de ontwikkeling in de vroege jaren. Adolescentie is een uniek, bepalend stadium van menselijke ontwikkeling, gekenmerkt door snelle hersenontwikkeling en fysieke groei, sterker cognitief vermogen, het begin van puberteit en seksueel bewustzijn en nieuwe vermogens, sterke punten en vaardigheden die zich aandienen. Adolescenten ervaren grotere verwachtingen rond hun rol in de samenleving en significantere relaties met leeftijdsgenoten wanneer zij overstappen van een situatie van afhankelijkheid naar een situatie van grotere autonomie.</w:t>
      </w:r>
    </w:p>
    <w:p w14:paraId="497179E7" w14:textId="77777777" w:rsidR="00646AD7" w:rsidRPr="000D51EF" w:rsidRDefault="00646AD7" w:rsidP="00EF5C0B">
      <w:pPr>
        <w:pStyle w:val="SingleTxtG"/>
      </w:pPr>
      <w:r>
        <w:t>10.</w:t>
      </w:r>
      <w:r>
        <w:tab/>
        <w:t xml:space="preserve">Bij het doorlopen van hun tienerjaren beginnen kinderen hun eigen individuele identiteit en hun identiteit in de gemeenschap te verkennen en te smeden op basis van een </w:t>
      </w:r>
      <w:r>
        <w:lastRenderedPageBreak/>
        <w:t>complexe interactie met hun eigen familie- en culturele geschiedenis, en ervaren ze de creatie van een opkomend zelfgevoel, vaak uitgedrukt door middel van taal, kunst en cultuur, zowel als individu als door omgang met hun leeftijdsgenoten. Voor velen vindt dat proces plaats rond en wordt het aanzienlijk geïnformeerd en beïnvloed door hun betrokkenheid bij de digitale omgeving. Het proces van opbouw en expressie van identiteit is bijzonder complex voor adolescenten als ze hun weg proberen te vinden tussen minderheidscultuur en de gangbare cultuur.</w:t>
      </w:r>
    </w:p>
    <w:p w14:paraId="215E78BF" w14:textId="77777777" w:rsidR="00646AD7" w:rsidRPr="000D51EF" w:rsidRDefault="00646AD7" w:rsidP="00922F0A">
      <w:pPr>
        <w:pStyle w:val="H23G"/>
      </w:pPr>
      <w:r>
        <w:tab/>
      </w:r>
      <w:r>
        <w:tab/>
        <w:t>Adolescentie erkennen als onderdeel van de levensloop</w:t>
      </w:r>
    </w:p>
    <w:p w14:paraId="404B0B75" w14:textId="77777777" w:rsidR="00646AD7" w:rsidRPr="000D51EF" w:rsidRDefault="00646AD7" w:rsidP="00EF5C0B">
      <w:pPr>
        <w:pStyle w:val="SingleTxtG"/>
      </w:pPr>
      <w:r>
        <w:t>11.</w:t>
      </w:r>
      <w:r>
        <w:tab/>
        <w:t xml:space="preserve"> Om de optimale ontwikkeling van elk kind gedurende de kinderjaren te waarborgen, is het noodzakelijk om de impact te herkennen die elke periode van het leven op de volgende fasen heeft. Adolescentie is op zichzelf een waardevolle periode van de jeugdjaren, maar is ook een cruciale overgangsperiode en een gelegenheid om de kansen in het leven te verbeteren. Positieve interventies en ervaringen in de vroege kinderjaren vergemakkelijken optimale ontwikkeling van jonge kinderen tot adolescenten.</w:t>
      </w:r>
      <w:r w:rsidRPr="00D8466A">
        <w:rPr>
          <w:rStyle w:val="FootnoteReference"/>
        </w:rPr>
        <w:footnoteReference w:id="3"/>
      </w:r>
      <w:r>
        <w:t xml:space="preserve"> Elke investering in jeugd loopt echter het risico verloren te gaan als hun rechten gedurende de adolescentie niet de juiste aandacht krijgen. Bovendien kunnen positieve en ondersteunende kansen tijdens de adolescentie worden gebruikt ter compensatie van de gevolgen veroorzaakt door schade tijdens de vroege kinderjaren en om veerkracht op te bouwen om toekomstige schade te verlichten. Het Comité benadrukt daarom het belang van het perspectief van de gehele levensloop. </w:t>
      </w:r>
    </w:p>
    <w:p w14:paraId="1A0359B4" w14:textId="77777777" w:rsidR="00646AD7" w:rsidRPr="000D51EF" w:rsidRDefault="00646AD7" w:rsidP="00922F0A">
      <w:pPr>
        <w:pStyle w:val="H23G"/>
      </w:pPr>
      <w:r>
        <w:tab/>
      </w:r>
      <w:r>
        <w:tab/>
        <w:t>Lastige omgeving</w:t>
      </w:r>
    </w:p>
    <w:p w14:paraId="0D950BD6" w14:textId="77777777" w:rsidR="00646AD7" w:rsidRPr="000D51EF" w:rsidRDefault="00646AD7" w:rsidP="00EF5C0B">
      <w:pPr>
        <w:pStyle w:val="SingleTxtG"/>
      </w:pPr>
      <w:r>
        <w:t>12.</w:t>
      </w:r>
      <w:r>
        <w:tab/>
        <w:t xml:space="preserve">Het bereiken van de adolescentie kan blootstelling aan een reeks van risico's betekenen, versterkt of verergerd door de digitale omgeving, waaronder middelengebruik en -verslaving, geweld en misbruik, seksuele of economische uitbuiting, mensenhandel, migratie, radicalisering of rekrutering door bendes of milities. Naarmate ze de volwassenheid naderen, hebben adolescenten passend onderwijs en ondersteuning nodig om lokale en wereldwijde uitdagingen aan te gaan, waaronder armoede en ongelijkheid, discriminatie, klimaatverandering en aantasting van het milieu, verstedelijking en migratie, vergrijzende samenleving, prestatiedruk op school en escalerende humanitaire en veiligheidscrises. Opgroeien in een heterogenere en multi-etnische samenleving vereist, als gevolg van de toegenomen wereldwijde migratie, ook een grotere capaciteit voor begrip, tolerantie en co-existentie. Er moet worden geïnvesteerd in maatregelen om de capaciteiten van adolescenten te vergroten om die uitdagingen te overwinnen of te verminderen, om de maatschappelijke drijfveren aan te pakken die dienen om hen uit te sluiten en te marginaliseren, en om hen uit te rusten voor lastige en veranderende sociale, economische en digitale omgevingen. </w:t>
      </w:r>
    </w:p>
    <w:p w14:paraId="29F3C21F" w14:textId="77777777" w:rsidR="00646AD7" w:rsidRPr="000D51EF" w:rsidRDefault="00646AD7" w:rsidP="00922F0A">
      <w:pPr>
        <w:pStyle w:val="H23G"/>
      </w:pPr>
      <w:r>
        <w:tab/>
      </w:r>
      <w:r>
        <w:tab/>
        <w:t>Periode van gezondheidsrisico's</w:t>
      </w:r>
    </w:p>
    <w:p w14:paraId="076AEDA4" w14:textId="77777777" w:rsidR="00646AD7" w:rsidRPr="000D51EF" w:rsidRDefault="00646AD7" w:rsidP="00EF5C0B">
      <w:pPr>
        <w:pStyle w:val="SingleTxtG"/>
      </w:pPr>
      <w:r>
        <w:t>13.</w:t>
      </w:r>
      <w:r>
        <w:tab/>
        <w:t>Hoewel de adolescentie over het algemeen wordt gekenmerkt door een relatief lage sterfte vergeleken met andere leeftijdsgroepen, is het risico op overlijden en ziekte tijdens de adolescentie reëel aanwezig, inclusief te voorkomen oorzaken zoals bevalling, onveilige abortussen, verkeersongevallen, seksueel overdraagbare aandoeningen, waaronder hiv, interpersoonlijke verwondingen, geestelijke gezondheidsproblemen en zelfmoord, die allemaal verband houden met bepaald gedrag en die sectoroverschrijdende samenwerking vereisen.</w:t>
      </w:r>
    </w:p>
    <w:p w14:paraId="2C2B5FE8" w14:textId="77777777" w:rsidR="00646AD7" w:rsidRPr="000D51EF" w:rsidRDefault="00646AD7" w:rsidP="00922F0A">
      <w:pPr>
        <w:pStyle w:val="HChG"/>
      </w:pPr>
      <w:r>
        <w:lastRenderedPageBreak/>
        <w:tab/>
      </w:r>
      <w:bookmarkStart w:id="8" w:name="_Toc468797235"/>
      <w:r>
        <w:t>IV.</w:t>
      </w:r>
      <w:r>
        <w:tab/>
        <w:t>Algemene beginselen van het Verdrag</w:t>
      </w:r>
      <w:bookmarkEnd w:id="8"/>
    </w:p>
    <w:p w14:paraId="170B0B05" w14:textId="77777777" w:rsidR="00646AD7" w:rsidRPr="000D51EF" w:rsidRDefault="00646AD7" w:rsidP="00EF5C0B">
      <w:pPr>
        <w:pStyle w:val="SingleTxtG"/>
      </w:pPr>
      <w:r>
        <w:t>14.</w:t>
      </w:r>
      <w:r>
        <w:tab/>
        <w:t xml:space="preserve">De algemene beginselen van het Verdrag vormen de lens waardoor het tenuitvoerleggingsproces moet worden gezien en fungeren als een gids voor het bepalen van de maatregelen die nodig zijn om de verwezenlijking van de rechten van kinderen tijdens de adolescentie te waarborgen. </w:t>
      </w:r>
    </w:p>
    <w:p w14:paraId="1DB27A16" w14:textId="77777777" w:rsidR="00646AD7" w:rsidRPr="000D51EF" w:rsidRDefault="00646AD7" w:rsidP="00922F0A">
      <w:pPr>
        <w:pStyle w:val="H1G"/>
      </w:pPr>
      <w:r>
        <w:tab/>
      </w:r>
      <w:bookmarkStart w:id="9" w:name="_Toc468797236"/>
      <w:r>
        <w:t>A.</w:t>
      </w:r>
      <w:r>
        <w:tab/>
        <w:t>Recht op ontwikkeling</w:t>
      </w:r>
      <w:bookmarkEnd w:id="9"/>
    </w:p>
    <w:p w14:paraId="63026B77" w14:textId="77777777" w:rsidR="00646AD7" w:rsidRPr="000D51EF" w:rsidRDefault="00646AD7" w:rsidP="00922F0A">
      <w:pPr>
        <w:pStyle w:val="H23G"/>
      </w:pPr>
      <w:r>
        <w:tab/>
      </w:r>
      <w:r>
        <w:tab/>
        <w:t>Positieve en holistische benadering</w:t>
      </w:r>
    </w:p>
    <w:p w14:paraId="6EE1AD63" w14:textId="77777777" w:rsidR="00646AD7" w:rsidRPr="000D51EF" w:rsidRDefault="00646AD7" w:rsidP="00EF5C0B">
      <w:pPr>
        <w:pStyle w:val="SingleTxtG"/>
      </w:pPr>
      <w:r>
        <w:t>15.</w:t>
      </w:r>
      <w:r>
        <w:tab/>
        <w:t xml:space="preserve">Het Comité benadrukt hoe belangrijk het is om de adolescentie en de daarmee verband houdende kenmerken als een positieve ontwikkelingsfase van de jeugdjaren te waarderen. Het Comité betreurt de wijdverbreide negatieve karakterisering van adolescentie, die leidt tot smalle probleemgerichte interventies en diensten in plaats van zich te verplichten tot het bouwen aan optimale omgevingen om de rechten van adolescenten te waarborgen en de ontwikkeling van hun lichamelijke, psychologische, spirituele, sociale, emotionele, cognitieve, culturele en economische vermogens te ondersteunen. </w:t>
      </w:r>
    </w:p>
    <w:p w14:paraId="62C5A427" w14:textId="77777777" w:rsidR="00646AD7" w:rsidRPr="000D51EF" w:rsidRDefault="00646AD7" w:rsidP="00EF5C0B">
      <w:pPr>
        <w:pStyle w:val="SingleTxtG"/>
      </w:pPr>
      <w:r>
        <w:t>16.</w:t>
      </w:r>
      <w:r>
        <w:tab/>
        <w:t xml:space="preserve">De Staten die partij zijn dienen samen met niet-gouvernementele actoren via dialoog met en betrokkenheid van adolescenten een omgeving te bevorderen die de intrinsieke waarde van de adolescentie onderkent en maatregelen te introduceren om hen te helpen tot bloei te komen en om hun zich ontwikkelende identiteit, overtuiging, seksualiteit en kansen te verkennen, risico's en veiligheid tegen elkaar af te wegen, de capaciteit op te bouwen om vrije, geïnformeerde en positieve beslissingen en keuzes in het leven te kunnen maken en met succes te navigeren door de overgang naar de volwassenheid. Er is een aanpak nodig die voortbouwt op de sterke punten en de bijdrage onderkent die adolescenten kunnen leveren aan hun leven en dat van anderen door de barrières aan te pakken die deze kansen blokkeren. </w:t>
      </w:r>
    </w:p>
    <w:p w14:paraId="5337494E" w14:textId="77777777" w:rsidR="00646AD7" w:rsidRPr="000D51EF" w:rsidRDefault="00646AD7" w:rsidP="00EF5C0B">
      <w:pPr>
        <w:pStyle w:val="SingleTxtG"/>
      </w:pPr>
      <w:r>
        <w:t>17.</w:t>
      </w:r>
      <w:r>
        <w:tab/>
        <w:t xml:space="preserve">Factoren waarvan bekend is dat ze de veerkracht en gezonde ontwikkeling van adolescenten bevorderen zijn o.a.: (a) sterke banden met en ondersteuning van belangrijke volwassenen in hun leven; (b) mogelijkheden om te participeren en beslissingen te nemen; (c) probleemoplossende en redzaamheidsvaardigheden; (d) een veilige en gezonde lokale omgeving; (e) respect voor hun individualiteit; en (f) mogelijkheden om vriendschappen te bouwen en onderhouden. Het Comité benadrukt dat de mogelijkheden voor adolescenten om voort te bouwen op en te profiteren van dergelijk sociaal kapitaal hun vermogen vergroten om bij te dragen aan de verwezenlijking van hun rechten, ook door lichamelijk en geestelijk goed gezond te zijn en te blijven, riskant gedrag uit de weg te gaan, van tegenslagen te herstellen, succesvol te zijn op school, tolerant te zijn, vriendschappen te sluiten en leiderschap uit te oefenen. </w:t>
      </w:r>
    </w:p>
    <w:p w14:paraId="0B0406B6" w14:textId="77777777" w:rsidR="00646AD7" w:rsidRPr="000D51EF" w:rsidRDefault="00646AD7" w:rsidP="00922F0A">
      <w:pPr>
        <w:pStyle w:val="H23G"/>
      </w:pPr>
      <w:r>
        <w:tab/>
      </w:r>
      <w:r>
        <w:tab/>
        <w:t>Respect voor zich ontwikkelende vermogens</w:t>
      </w:r>
    </w:p>
    <w:p w14:paraId="348231A2" w14:textId="77777777" w:rsidR="00646AD7" w:rsidRPr="000D51EF" w:rsidRDefault="00646AD7" w:rsidP="00EF5C0B">
      <w:pPr>
        <w:pStyle w:val="SingleTxtG"/>
      </w:pPr>
      <w:r>
        <w:t>18.</w:t>
      </w:r>
      <w:r>
        <w:tab/>
        <w:t>Artikel 5 van het Verdrag vereist dat ouderlijke leiding en sturing geboden wordt op een manier die overeenkomt met de zich ontwikkelende vermogens van het kind. Het Comité omschrijft zich ontwikkelende vermogens als een voorwaardenscheppend beginsel betreffende het rijpings- en leerproces waardoor kinderen steeds meer competenties verkrijgen en begrijpen</w:t>
      </w:r>
      <w:r w:rsidRPr="00D8466A">
        <w:rPr>
          <w:rStyle w:val="FootnoteReference"/>
        </w:rPr>
        <w:footnoteReference w:id="4"/>
      </w:r>
      <w:r>
        <w:t xml:space="preserve"> hoeveel ze zelf moeten doen om verantwoordelijkheid te nemen en hun rechten uit te oefenen. Het Comité stelt dat hoe meer een kind weet en begrijpt, des te meer zijn of haar ouders leiding en sturing moeten omzetten naar helpen herinneren en geleidelijk aan naar een uitwisseling op gelijke voet.</w:t>
      </w:r>
      <w:r w:rsidRPr="00D8466A">
        <w:rPr>
          <w:rStyle w:val="FootnoteReference"/>
        </w:rPr>
        <w:footnoteReference w:id="5"/>
      </w:r>
      <w:r>
        <w:t xml:space="preserve"> </w:t>
      </w:r>
    </w:p>
    <w:p w14:paraId="01B6F291" w14:textId="77777777" w:rsidR="00646AD7" w:rsidRPr="000D51EF" w:rsidRDefault="00646AD7" w:rsidP="00EF5C0B">
      <w:pPr>
        <w:pStyle w:val="SingleTxtG"/>
      </w:pPr>
      <w:r>
        <w:lastRenderedPageBreak/>
        <w:t>19.</w:t>
      </w:r>
      <w:r>
        <w:tab/>
        <w:t>Het Comité benadrukt dat het recht steeds meer verantwoordelijkheid te dragen de Staten die partij zijn niet ontslaat van hun verplichting bescherming te garanderen.</w:t>
      </w:r>
      <w:r w:rsidRPr="00D8466A">
        <w:rPr>
          <w:rStyle w:val="FootnoteReference"/>
        </w:rPr>
        <w:footnoteReference w:id="6"/>
      </w:r>
      <w:r>
        <w:t xml:space="preserve"> Het geleidelijk aan loskomen van de bescherming van het gezin of een andere zorgomgeving, samen met betrekkelijke onervarenheid en gebrek aan macht, kan adolescenten kwetsbaar maken voor schendingen van hun rechten. Het Comité onderstreept dat het betrekken van adolescenten bij het vaststellen van mogelijke risico's en de ontwikkeling en uitvoering van regelingen om die risico's te verkleinen tot een effectievere bescherming zal leiden. Door het recht om gehoord te worden, schendingen van rechten aan de kaak te stellen en de gelegenheid verhaal te halen voor hen te garanderen, kunnen adolescenten meer en meer zelf voor hun eigen bescherming gaan zorgen. </w:t>
      </w:r>
    </w:p>
    <w:p w14:paraId="62844891" w14:textId="77777777" w:rsidR="00646AD7" w:rsidRPr="000D51EF" w:rsidRDefault="00646AD7" w:rsidP="00EF5C0B">
      <w:pPr>
        <w:pStyle w:val="SingleTxtG"/>
      </w:pPr>
      <w:r>
        <w:t>20.</w:t>
      </w:r>
      <w:r>
        <w:tab/>
        <w:t xml:space="preserve">Bij het proberen het juiste evenwicht te bieden tussen respect voor de zich ontwikkelende vermogens van adolescenten en het juiste beschermingsniveau, dient rekening te worden gehouden met een reeks van factoren die van invloed zijn op de besluitvorming, waaronder het desbetreffende risiconiveau, de mogelijkheden voor uitbuiting, begrip voor de ontwikkeling van de adolescent, de onderkenning dat competentie en begrip niet per se op alle gebied in dezelfde mate ontstaan en de onderkenning van individuele ervaringen en vermogens. </w:t>
      </w:r>
    </w:p>
    <w:p w14:paraId="07E0BCBF" w14:textId="77777777" w:rsidR="00646AD7" w:rsidRPr="000D51EF" w:rsidRDefault="00646AD7" w:rsidP="00922F0A">
      <w:pPr>
        <w:pStyle w:val="H1G"/>
      </w:pPr>
      <w:r>
        <w:tab/>
      </w:r>
      <w:bookmarkStart w:id="10" w:name="_Toc468797237"/>
      <w:r>
        <w:t>B.</w:t>
      </w:r>
      <w:r>
        <w:tab/>
        <w:t>Non-discriminatie</w:t>
      </w:r>
      <w:bookmarkEnd w:id="10"/>
    </w:p>
    <w:p w14:paraId="53B59C3D" w14:textId="77777777" w:rsidR="00646AD7" w:rsidRPr="000D51EF" w:rsidRDefault="00646AD7" w:rsidP="00EF5C0B">
      <w:pPr>
        <w:pStyle w:val="SingleTxtG"/>
      </w:pPr>
      <w:r>
        <w:t>21.</w:t>
      </w:r>
      <w:r>
        <w:tab/>
        <w:t>Het Comité heeft meerdere vormen van discriminatie vastgesteld, vele waarvan in het bijzonder gevolgen hebben gedurende de adolescentie en een intersectionele analyse en gerichte holistische maatregelen nodig maken.</w:t>
      </w:r>
      <w:r w:rsidRPr="00D8466A">
        <w:rPr>
          <w:rStyle w:val="FootnoteReference"/>
        </w:rPr>
        <w:footnoteReference w:id="7"/>
      </w:r>
      <w:r>
        <w:t xml:space="preserve"> De adolescentie zelf kan een bron van discriminatie zijn. In deze periode kunnen adolescenten behandeld worden als zijnde gevaarlijk of vijandig, gevangen gezet, uitgebuit of blootgesteld worden aan geweld als een direct gevolg van het feit dat ze adolescent zijn. Paradoxaal genoeg worden ze ook vaak behandeld als zijnde incompetent en niet in staat beslissingen te nemen over hun leven. Het Comité dringt er bij de Staten die partij zijn op aan alle rechten van iedere adolescent, jongens en meisjes, gelijkelijk te eerbiedigen en te beschermen en allesomvattende en passende positieve discriminatiemaatregelen te introduceren om omstandigheden die leiden tot directe of indirecte discriminatie tegen een groep adolescenten, om wat voor reden dan ook, te beperken of uit te bannen.</w:t>
      </w:r>
      <w:r w:rsidRPr="00D8466A">
        <w:rPr>
          <w:rStyle w:val="FootnoteReference"/>
        </w:rPr>
        <w:footnoteReference w:id="8"/>
      </w:r>
      <w:r>
        <w:t xml:space="preserve"> De Staten die partij zijn bij het Verdrag wordt gevraagd te bedenken dat niet ieder verschil van behandeling meteen discriminatie is als de criteria voor zo'n verschillende behandeling redelijk en objectief zijn en als de bedoeling is een doel te bereiken dat legitiem is krachtens het Verdrag.</w:t>
      </w:r>
      <w:r w:rsidRPr="00D8466A">
        <w:rPr>
          <w:rStyle w:val="FootnoteReference"/>
        </w:rPr>
        <w:footnoteReference w:id="9"/>
      </w:r>
    </w:p>
    <w:p w14:paraId="7937BA7B" w14:textId="77777777" w:rsidR="00646AD7" w:rsidRPr="000D51EF" w:rsidRDefault="00646AD7" w:rsidP="00922F0A">
      <w:pPr>
        <w:pStyle w:val="H1G"/>
      </w:pPr>
      <w:r>
        <w:tab/>
      </w:r>
      <w:bookmarkStart w:id="11" w:name="_Toc468797238"/>
      <w:r>
        <w:t>C.</w:t>
      </w:r>
      <w:r>
        <w:tab/>
        <w:t>Belang van het kind</w:t>
      </w:r>
      <w:bookmarkEnd w:id="11"/>
    </w:p>
    <w:p w14:paraId="69F9F738" w14:textId="77777777" w:rsidR="00646AD7" w:rsidRPr="000D51EF" w:rsidRDefault="00646AD7" w:rsidP="00EF5C0B">
      <w:pPr>
        <w:pStyle w:val="SingleTxtG"/>
      </w:pPr>
      <w:r>
        <w:t>22.</w:t>
      </w:r>
      <w:r>
        <w:tab/>
        <w:t>Het recht van het kind om zijn of haar belang als eerste overweging in aanmerking te laten nemen is een inhoudelijk recht, een interpretatief rechtsbeginsel en een procedureregel en geldt voor kinderen als individuen en als groep.</w:t>
      </w:r>
      <w:r w:rsidRPr="00D8466A">
        <w:rPr>
          <w:rStyle w:val="FootnoteReference"/>
        </w:rPr>
        <w:footnoteReference w:id="10"/>
      </w:r>
      <w:r>
        <w:t xml:space="preserve"> Alle maatregelen ter uitvoering van het Verdrag, zoals wetgeving, beleid, economische en sociale planning, besluitvorming en budgettaire beslissingen, dienen procedures te volgen die garanderen dat het belang van het kind, ook de adolescent, als eerste overweging geldt bij alle maatregelen die hen betreffen. </w:t>
      </w:r>
      <w:r>
        <w:lastRenderedPageBreak/>
        <w:t>In het licht van General Comment nr. 14 (2013) over het recht van het kind zijn of haar belang als eerste overweging te laten gelden, benadrukt het Comité dat bij het bepalen van het belang van het kind rekening gehouden dient te worden met de mening van het kind overeenkomstig zijn of haar zich ontwikkelende vermogens</w:t>
      </w:r>
      <w:r w:rsidRPr="00D8466A">
        <w:rPr>
          <w:rStyle w:val="FootnoteReference"/>
        </w:rPr>
        <w:footnoteReference w:id="11"/>
      </w:r>
      <w:r>
        <w:t xml:space="preserve"> en rekening houdend met de eigenschappen van het kind. De Staten die partij zijn moeten waarborgen dat passend gewicht wordt gehecht aan de meningen van adolescenten naarmate zij inzicht en rijpheid verwerven.</w:t>
      </w:r>
    </w:p>
    <w:p w14:paraId="358E06F8" w14:textId="77777777" w:rsidR="00646AD7" w:rsidRPr="000D51EF" w:rsidRDefault="00646AD7" w:rsidP="00922F0A">
      <w:pPr>
        <w:pStyle w:val="H1G"/>
      </w:pPr>
      <w:r>
        <w:tab/>
      </w:r>
      <w:bookmarkStart w:id="12" w:name="_Toc468797239"/>
      <w:r>
        <w:t>D.</w:t>
      </w:r>
      <w:r>
        <w:tab/>
        <w:t>Recht om gehoord te worden en participatierecht</w:t>
      </w:r>
      <w:bookmarkEnd w:id="12"/>
    </w:p>
    <w:p w14:paraId="24AE39F4" w14:textId="77777777" w:rsidR="00646AD7" w:rsidRPr="000D51EF" w:rsidRDefault="00646AD7" w:rsidP="00EF5C0B">
      <w:pPr>
        <w:pStyle w:val="SingleTxtG"/>
      </w:pPr>
      <w:r>
        <w:t>23.</w:t>
      </w:r>
      <w:r>
        <w:tab/>
        <w:t>Volgens artikel 12 van het Verdrag dienen de Staten die partij zijn bij het Verdrag maatregelen te introduceren om adolescenten het recht te garanderen hun mening te geven over alle zaken die hen betreffen, al naargelang hun leeftijd en rijpheid, en te garanderen dat er het juiste gewicht aan wordt gehecht, bijvoorbeeld bij beslissingen met betrekking tot hun onderwijs, gezondheid, seksualiteit, gezinsleven en gerechtelijke en administratieve procedures. De Staten die partij zijn dienen te garanderen dat adolescenten betrokken worden bij de ontwikkeling, uitvoering en het toezicht op alle relevante wetgeving, beleid, diensten en regelingen die van invloed zijn op hun leven, op school en in de gemeenschap, lokaal, in eigen land en internationaal.</w:t>
      </w:r>
      <w:r w:rsidRPr="00D8466A">
        <w:rPr>
          <w:rStyle w:val="FootnoteReference"/>
        </w:rPr>
        <w:footnoteReference w:id="12"/>
      </w:r>
      <w:r>
        <w:t xml:space="preserve"> In de online-omgeving doen zich meer en meer significante mogelijkheden voor om hun betrokkenheid te versterken en uit te breiden. Deze maatregelen dienen vergezeld te gaan van veilige en toegankelijke klachten- en verhaalsmechanismen met de bevoegdheid over claims van adolescenten te oordelen en van toegang tot gesubsidieerde of kosteloze rechtshulp en andere passende bijstand. </w:t>
      </w:r>
    </w:p>
    <w:p w14:paraId="4AF201A8" w14:textId="77777777" w:rsidR="00646AD7" w:rsidRPr="000D51EF" w:rsidRDefault="00646AD7" w:rsidP="00EF5C0B">
      <w:pPr>
        <w:pStyle w:val="SingleTxtG"/>
      </w:pPr>
      <w:r>
        <w:t>24.</w:t>
      </w:r>
      <w:r>
        <w:tab/>
        <w:t xml:space="preserve">Het Comité benadrukt dat het belang van participatie als middel tot politieke en burgerlijke betrokkenheid door middel waarvan adolescenten de verwezenlijking van hun rechten kunnen regelen en bepleiten en de Staten die partij zijn ter verantwoording kunnen roepen. De Staten die partij zijn dienen beleid aan te nemen om de mogelijkheden voor politieke participatie te vergroten, wat instrumenteel is bij de ontwikkeling van actief burgerschap. Adolescenten kunnen contact maken met leeftijdsgenoten, zich bezighouden met politieke processen en zelf meer het gevoel krijgen dat ze kunnen komen tot goed onderbouwde beslissingen en keuzes, en moeten daarom ondersteund worden bij het vormen van organisaties door middel waarvan zij op allerlei manieren kunnen participeren, ook in de digitale media. Als de Staten die partij zijn besluiten de stemgerechtigde leeftijd te verlagen naar jonger dan 18 jaar dienen ze te investeren in maatregelen die adolescenten ondersteunen bij het begrijpen, herkennen en vervullen van hun taak als actieve burgers, zoals door voorlichting over burgerschap en mensenrechten en door het vaststellen en aanpakken van barrières voor hun betrokkenheid en participatie. </w:t>
      </w:r>
    </w:p>
    <w:p w14:paraId="413676D4" w14:textId="77777777" w:rsidR="00646AD7" w:rsidRPr="000D51EF" w:rsidRDefault="00646AD7" w:rsidP="00EF5C0B">
      <w:pPr>
        <w:pStyle w:val="SingleTxtG"/>
      </w:pPr>
      <w:r>
        <w:t>25.</w:t>
      </w:r>
      <w:r>
        <w:tab/>
        <w:t>Het Comité merkt op dat begrip en kennis van volwassenen van het participatierecht van adolescenten belangrijk zijn zodat adolescenten ook van dat recht gebruik kunnen maken, en stimuleert de Staten die partij zijn te investeren in de training en bewustwording van vooral ouders, verzorgers en professionals die met en voor adolescenten werken, alsook beleidsmakers en besluitvormers. Volwassenen moeten ondersteuning krijgen om mentor en helper van adolescenten te worden zodat die meer verantwoordelijkheden kunnen nemen voor hun eigen leven en het leven van de mensen om hen heen.</w:t>
      </w:r>
    </w:p>
    <w:p w14:paraId="617972F6" w14:textId="77777777" w:rsidR="00646AD7" w:rsidRPr="000D51EF" w:rsidRDefault="00646AD7" w:rsidP="00922F0A">
      <w:pPr>
        <w:pStyle w:val="HChG"/>
      </w:pPr>
      <w:r>
        <w:tab/>
      </w:r>
      <w:bookmarkStart w:id="13" w:name="_Toc468797240"/>
      <w:r>
        <w:t>V.</w:t>
      </w:r>
      <w:r>
        <w:tab/>
        <w:t>Adolescenten die speciale aandacht nodig hebben</w:t>
      </w:r>
      <w:bookmarkEnd w:id="13"/>
    </w:p>
    <w:p w14:paraId="0B3C404E" w14:textId="77777777" w:rsidR="00646AD7" w:rsidRPr="000D51EF" w:rsidRDefault="00646AD7" w:rsidP="00EF5C0B">
      <w:pPr>
        <w:pStyle w:val="SingleTxtG"/>
      </w:pPr>
      <w:r>
        <w:t>26.</w:t>
      </w:r>
      <w:r>
        <w:tab/>
        <w:t xml:space="preserve">Bepaalde groepen adolescenten kunnen in het bijzonder kwetsbaar zijn voor meerdere dingen en voor de schending van hun rechten, en zij kunnen te maken krijgen met </w:t>
      </w:r>
      <w:r>
        <w:lastRenderedPageBreak/>
        <w:t xml:space="preserve">discriminatie en sociale uitsluiting. Alle maatregelen die genomen worden met betrekking tot wetgeving, beleid en regelingen die gericht zijn op adolescenten dienen rekening te houden met schendingen van meerdere rechten tegelijkertijd en de gecombineerde negatieve gevolgen daarvan op de betreffende adolescenten. </w:t>
      </w:r>
    </w:p>
    <w:p w14:paraId="217BAA42" w14:textId="77777777" w:rsidR="00646AD7" w:rsidRPr="000D51EF" w:rsidRDefault="00646AD7" w:rsidP="00922F0A">
      <w:pPr>
        <w:pStyle w:val="H23G"/>
      </w:pPr>
      <w:r>
        <w:tab/>
      </w:r>
      <w:r>
        <w:tab/>
        <w:t>Meisjes</w:t>
      </w:r>
    </w:p>
    <w:p w14:paraId="203F691D" w14:textId="77777777" w:rsidR="00646AD7" w:rsidRPr="000D51EF" w:rsidRDefault="00646AD7" w:rsidP="00EF5C0B">
      <w:pPr>
        <w:pStyle w:val="SingleTxtG"/>
      </w:pPr>
      <w:r>
        <w:t>27.</w:t>
      </w:r>
      <w:r>
        <w:tab/>
        <w:t>Tijdens de adolescentie wordt ongelijkheid van geslacht belangrijker. Uitingen van discriminatie, ongelijkheid en stereotypering tegen meisjes worden vaak sterker en leiden tot ernstigere schendingen van hun rechten, zoals kindhuwelijken en gedwongen huwelijken, vroege zwangerschappen, vrouwelijke genitale verminking, lichamelijk, geestelijk en seksueel geweld op basis van geslacht, misbruik, uitbuiting en mensenhandel.</w:t>
      </w:r>
      <w:r w:rsidRPr="00D8466A">
        <w:rPr>
          <w:rStyle w:val="FootnoteReference"/>
        </w:rPr>
        <w:footnoteReference w:id="13"/>
      </w:r>
      <w:r>
        <w:t xml:space="preserve"> Culturele normen waardoor aan meisjes een lagere status toegekend wordt vergroten de kans op opsluiting thuis, gebrekkige toegang tot voortgezet en hoger onderwijs, beperkte mogelijkheden voor vrijetijdsbesteding, sport, recreatie en het genereren van inkomen, geen toegang tot het culturele leven en kunst, zwaar huishoudelijk werk en verantwoordelijkheid voor de zorg van kinderen. In veel landen laten meisjes een lagere graad van gezondheid en indicatoren voor levensgeluk zien dan jongens, een verschil dat oploopt naarmate de leeftijd stijgt. </w:t>
      </w:r>
    </w:p>
    <w:p w14:paraId="3BB04DC9" w14:textId="77777777" w:rsidR="00646AD7" w:rsidRPr="000D51EF" w:rsidRDefault="00646AD7" w:rsidP="00EF5C0B">
      <w:pPr>
        <w:pStyle w:val="SingleTxtG"/>
      </w:pPr>
      <w:r>
        <w:t>28.</w:t>
      </w:r>
      <w:r>
        <w:tab/>
        <w:t xml:space="preserve">De Staten die partij zijn moeten investeren in proactieve maatregelen om meisjes mondig te maken, patriarchale en andere schadelijke normen op basis van geslacht en stereotypering aan de kaak te stellen, en wettelijke hervormingen te bevorderen om directe en indirecte discriminatie van meisjes aan te pakken, samen met alle belanghebbenden, zoals maatschappelijke organisaties, vrouwen en mannen, traditionele en godsdienstige leiders en adolescenten zelf. Expliciete maatregelen zijn nodig in alle wetten, beleidsvormen en regelingen om de rechten van meisjes en jongens op gelijke voet te waarborgen. </w:t>
      </w:r>
    </w:p>
    <w:p w14:paraId="75A4E019" w14:textId="77777777" w:rsidR="00646AD7" w:rsidRPr="000D51EF" w:rsidRDefault="00646AD7" w:rsidP="00922F0A">
      <w:pPr>
        <w:pStyle w:val="H23G"/>
      </w:pPr>
      <w:r>
        <w:tab/>
      </w:r>
      <w:r>
        <w:tab/>
        <w:t>Jongens</w:t>
      </w:r>
    </w:p>
    <w:p w14:paraId="5136153E" w14:textId="77777777" w:rsidR="00646AD7" w:rsidRPr="000D51EF" w:rsidRDefault="00646AD7" w:rsidP="00EF5C0B">
      <w:pPr>
        <w:pStyle w:val="SingleTxtG"/>
      </w:pPr>
      <w:r>
        <w:t>29.</w:t>
      </w:r>
      <w:r>
        <w:tab/>
        <w:t xml:space="preserve">Traditionele begrippen van mannelijkheid en normen op basis van geslacht gekoppeld aan geweld en dominantie kunnen de rechten van jongens in gevaar brengen. Hieronder valt ook het opleggen van schadelijke initiëringsceremonies, blootstelling aan geweld, bendes, gedwongen lidmaatschap van een militie of extremistische groepering en mensenhandel. Ook ontkenning van hun kwetsbaarheid voor fysiek en seksueel misbruik en uitbuiting plaatst jongens voor overal aanwezige, aanzienlijke barrières als het gaat om toegang krijgen tot voorlichting over seksuele en reproductieve gezondheid, goederen en diensten en een consequent gebrek aan beschermende dienstverlening. </w:t>
      </w:r>
    </w:p>
    <w:p w14:paraId="22D9D699" w14:textId="77777777" w:rsidR="00646AD7" w:rsidRPr="000D51EF" w:rsidRDefault="00646AD7" w:rsidP="00EF5C0B">
      <w:pPr>
        <w:pStyle w:val="SingleTxtG"/>
      </w:pPr>
      <w:r>
        <w:t>30.</w:t>
      </w:r>
      <w:r>
        <w:tab/>
        <w:t>Het Comité dringt er bij Staten die partij zijn op aan maatregelen te introduceren die deze schendingen van rechten aanpakken en stimuleert ze negatieve percepties van jongens aan de kaak te stellen, positieve mannelijkheid te bevorderen, culturele waarden op basis van machismo te overwinnen en erkenning te bevorderen van de rol die geslacht speelt bij het misbruik dat zij meemaken. . De Staten die partij zijn dienen ook het belang te onderkennen van contact met jongens en mannen én meisjes en vrouwen bij alle maatregelen die worden geïntroduceerd om geslachtsgelijkheid te bereiken.</w:t>
      </w:r>
    </w:p>
    <w:p w14:paraId="1A0A74B7" w14:textId="77777777" w:rsidR="00646AD7" w:rsidRPr="000D51EF" w:rsidRDefault="00646AD7" w:rsidP="00922F0A">
      <w:pPr>
        <w:pStyle w:val="H23G"/>
      </w:pPr>
      <w:r>
        <w:tab/>
      </w:r>
      <w:r>
        <w:tab/>
        <w:t>Adolescenten met een beperking</w:t>
      </w:r>
    </w:p>
    <w:p w14:paraId="1E2C4EC0" w14:textId="77777777" w:rsidR="00646AD7" w:rsidRPr="000D51EF" w:rsidRDefault="00646AD7" w:rsidP="00EF5C0B">
      <w:pPr>
        <w:pStyle w:val="SingleTxtG"/>
      </w:pPr>
      <w:r>
        <w:t>31.</w:t>
      </w:r>
      <w:r>
        <w:tab/>
        <w:t>Het Comité heeft eerder al de aandacht gevestigd op wijdverbreide vooroordelen, uitsluiting, sociale isolatie en discriminatie die veel kinderen met een beperking ervaren.</w:t>
      </w:r>
      <w:r w:rsidRPr="00D8466A">
        <w:rPr>
          <w:rStyle w:val="FootnoteReference"/>
        </w:rPr>
        <w:footnoteReference w:id="14"/>
      </w:r>
      <w:r>
        <w:t xml:space="preserve"> Adolescenten met een beperking worden in veel Staten die partij zijn gewoonlijk uitgesloten van mogelijkheden die andere adolescenten hebben. Zij kunnen uitgesloten zijn van </w:t>
      </w:r>
      <w:r>
        <w:lastRenderedPageBreak/>
        <w:t>deelname aan sociale, culturele en godsdienstige overgangsrituelen. Aanzienlijke aantallen wordt de toegang ontzegd tot voortgezet of hoger onderwijs of beroepsopleidingen en tot het consequent verkrijgen van sociale, onderwijs- en economische vaardigheden die ze nodig hebben voor toekomstig werk en een leven zonder armoede. Ze hebben bijna nergens toegang tot voorlichting over en diensten voor seksuele en reproductieve gezondheid en kunnen het onderwerp zijn van gedwongen sterilisatie en anticonceptie, wat een directe schending van hun rechten betekent en kan uitmonden in foltering of een slechte behandeling.</w:t>
      </w:r>
      <w:r w:rsidRPr="00D8466A">
        <w:rPr>
          <w:rStyle w:val="FootnoteReference"/>
        </w:rPr>
        <w:footnoteReference w:id="15"/>
      </w:r>
      <w:r>
        <w:t xml:space="preserve"> Adolescenten met een beperking zijn disproportioneel kwetsbaar voor lichamelijk en seksueel geweld en kinderhuwelijken of gedwongen huwelijken en hebben stelselmatig geen toegang tot de rechter of verhaal.</w:t>
      </w:r>
      <w:r w:rsidRPr="00D8466A">
        <w:rPr>
          <w:rStyle w:val="FootnoteReference"/>
        </w:rPr>
        <w:footnoteReference w:id="16"/>
      </w:r>
      <w:r>
        <w:t xml:space="preserve"> </w:t>
      </w:r>
    </w:p>
    <w:p w14:paraId="24D5CD0E" w14:textId="77777777" w:rsidR="00646AD7" w:rsidRPr="000D51EF" w:rsidRDefault="00646AD7" w:rsidP="00EF5C0B">
      <w:pPr>
        <w:pStyle w:val="SingleTxtG"/>
      </w:pPr>
      <w:r>
        <w:t>32.</w:t>
      </w:r>
      <w:r>
        <w:tab/>
        <w:t>De Staten die partij zijn dienen maatregelen te introduceren om die barrières te overwinnen, gelijk respect te garanderen voor de rechten van adolescenten met een beperking, hun volledige inclusie te bevorderen en effectieve transities te bevorderen van de adolescentie naar volwassenheid, overeenkomstig artikel 23 van het Verdrag en de aanbevelingen in General Comment nr. 9 (2006) over de rechten van kinderen met een beperking. Adolescenten met een beperking dienen daarnaast mogelijkheden geboden te krijgen voor ondersteunde besluitvorming om hun actieve participatie in alle zaken die hen betreffen te faciliteren.</w:t>
      </w:r>
    </w:p>
    <w:p w14:paraId="3928597E" w14:textId="77777777" w:rsidR="00646AD7" w:rsidRPr="000D51EF" w:rsidRDefault="00646AD7" w:rsidP="00922F0A">
      <w:pPr>
        <w:pStyle w:val="H23G"/>
      </w:pPr>
      <w:r>
        <w:tab/>
      </w:r>
      <w:r>
        <w:tab/>
        <w:t>Lesbische, homoseksuele, biseksuele, transgender-en interseksuele adolescenten</w:t>
      </w:r>
    </w:p>
    <w:p w14:paraId="5BFE1495" w14:textId="77777777" w:rsidR="00646AD7" w:rsidRPr="000D51EF" w:rsidRDefault="00646AD7" w:rsidP="00EF5C0B">
      <w:pPr>
        <w:pStyle w:val="SingleTxtG"/>
      </w:pPr>
      <w:r>
        <w:t>33.</w:t>
      </w:r>
      <w:r>
        <w:tab/>
        <w:t>Adolescenten die lesbisch, homoseksueel, biseksueel, transgender of interseksueel zijn hebben vaak te maken met vervolging, misbruik en geweld, stigmatisering, discriminatie, pesten, uitsluiting van onderwijs en opleiding en ook met een gebrek aan ondersteuning van de familie en de maatschappij of aan diensten en voorlichting op het gebied van seksuele en reproductieve gezondheid.</w:t>
      </w:r>
      <w:r w:rsidRPr="00D8466A">
        <w:rPr>
          <w:rStyle w:val="FootnoteReference"/>
        </w:rPr>
        <w:footnoteReference w:id="17"/>
      </w:r>
      <w:r>
        <w:t xml:space="preserve"> In extreme gevallen hebben ze zelfs te maken met aanranding, verkrachting of zelfs de dood. Deze ervaringen zijn in verband gebracht met een laag zelfbeeld, een hoog aantal gevallen van depressie, zelfmoord en dakloos zijn.</w:t>
      </w:r>
      <w:r w:rsidRPr="00D8466A">
        <w:rPr>
          <w:rStyle w:val="FootnoteReference"/>
        </w:rPr>
        <w:footnoteReference w:id="18"/>
      </w:r>
      <w:r>
        <w:t xml:space="preserve"> </w:t>
      </w:r>
    </w:p>
    <w:p w14:paraId="3D6881DA" w14:textId="77777777" w:rsidR="00646AD7" w:rsidRPr="000D51EF" w:rsidRDefault="00646AD7" w:rsidP="00EF5C0B">
      <w:pPr>
        <w:pStyle w:val="SingleTxtG"/>
      </w:pPr>
      <w:r>
        <w:t>34.</w:t>
      </w:r>
      <w:r>
        <w:tab/>
        <w:t xml:space="preserve">Het Comité benadrukt de rechten van alle adolescenten op vrijheid van meningsuiting en respect voor hun lichamelijke en geestelijke integriteit, genderidentiteit en opkomende autonomie. Het Comité veroordeelt het opleggen van zogenaamde behandelingen om te trachten de seksuele geaardheid te veranderen en gedwongen operaties of behandelingen van interseksuele adolescenten. Het Comité dringt er bij Staten die partij zijn op aan die praktijken uit te bannen, alle wetten te herroepen die een persoon strafbaar maken of anderszins discrimineren op basis van zijn of haar seksuele geaardheid, genderidentiteit of interseksuele status, en wetten aan te nemen die discriminatie op deze gronden verbieden. De Staten die partij zijn dienen ook effectieve maatregelen te ondernemen om alle lesbische, homoseksuele, biseksuele, transgender- en interseksuele adolescenten te beschermen tegen alle vormen van geweld, discriminatie of pesten door bewustmaking en invoering van veiligheidsmaatregelen en ondersteunende maatregelen. </w:t>
      </w:r>
    </w:p>
    <w:p w14:paraId="6D4A6D59" w14:textId="77777777" w:rsidR="00646AD7" w:rsidRPr="000D51EF" w:rsidRDefault="00646AD7" w:rsidP="00922F0A">
      <w:pPr>
        <w:pStyle w:val="H23G"/>
      </w:pPr>
      <w:r>
        <w:tab/>
      </w:r>
      <w:r>
        <w:tab/>
        <w:t>Adolescenten uit minderheidsgroepen en inheemse adolescenten</w:t>
      </w:r>
    </w:p>
    <w:p w14:paraId="5B51D169" w14:textId="77777777" w:rsidR="00646AD7" w:rsidRPr="000D51EF" w:rsidRDefault="00646AD7" w:rsidP="00EF5C0B">
      <w:pPr>
        <w:pStyle w:val="SingleTxtG"/>
      </w:pPr>
      <w:r>
        <w:t>35.</w:t>
      </w:r>
      <w:r>
        <w:tab/>
        <w:t xml:space="preserve">Onvoldoende aandacht en respect voor de cultuur, de waarden en het wereldbeeld van adolescenten uit minderheden- en inheemse groepen kan leiden tot discriminatie, sociale uitsluiting, marginalisering en niet opgenomen worden in de publieke ruimte. Dit vergroot </w:t>
      </w:r>
      <w:r>
        <w:lastRenderedPageBreak/>
        <w:t xml:space="preserve">de kwetsbaarheid van adolescenten uit minderheids- en inheemse groepen voor armoede, sociaal onrecht, problemen met de geestelijke gezondheid, waaronder ook onevenredig hoge aantallen zelfmoorden, slechte schoolresultaten en het groot aantal gevallen in bewaring binnen de strafrechtspleging. </w:t>
      </w:r>
    </w:p>
    <w:p w14:paraId="6CDBA081" w14:textId="77777777" w:rsidR="00646AD7" w:rsidRPr="000D51EF" w:rsidRDefault="00646AD7" w:rsidP="00EF5C0B">
      <w:pPr>
        <w:pStyle w:val="SingleTxtG"/>
      </w:pPr>
      <w:r>
        <w:t>36.</w:t>
      </w:r>
      <w:r>
        <w:tab/>
        <w:t xml:space="preserve">Het Comité dringt er bij de Staten die partij zijn op aan maatregelen te introduceren om adolescenten uit minderheids- en inheemse gemeenschappen te ondersteunen zodat zij hun culturele identiteit kunnen genieten en kunnen voortbouwen op de sterke kanten van hun cultuur om een actieve bijdrage te leveren aan het gezins- en gemeenschapsleven, met bijzondere aandacht voor de rechten van adolescente meisjes. Daarbij dienen de Staten die partij zijn uit te gaan van de uitgebreide aanbevelingen in General Comment nr. 11 (2009) van het Comité over inheemse kinderen en hun rechten onder het Verdrag. </w:t>
      </w:r>
    </w:p>
    <w:p w14:paraId="40A95C44" w14:textId="77777777" w:rsidR="00646AD7" w:rsidRPr="000D51EF" w:rsidRDefault="00646AD7" w:rsidP="00922F0A">
      <w:pPr>
        <w:pStyle w:val="HChG"/>
      </w:pPr>
      <w:r>
        <w:tab/>
      </w:r>
      <w:bookmarkStart w:id="14" w:name="_Toc468797241"/>
      <w:r>
        <w:t>VI.</w:t>
      </w:r>
      <w:r>
        <w:tab/>
        <w:t>Algemene maatregelen van tenuitvoerlegging</w:t>
      </w:r>
      <w:bookmarkEnd w:id="14"/>
      <w:r>
        <w:t xml:space="preserve"> </w:t>
      </w:r>
    </w:p>
    <w:p w14:paraId="3C4569A8" w14:textId="77777777" w:rsidR="00646AD7" w:rsidRPr="000D51EF" w:rsidRDefault="00646AD7" w:rsidP="00EF5C0B">
      <w:pPr>
        <w:pStyle w:val="SingleTxtG"/>
      </w:pPr>
      <w:r>
        <w:t>37.</w:t>
      </w:r>
      <w:r>
        <w:tab/>
        <w:t xml:space="preserve">Overeenkomstig General Comment nr. 5 (2003) over de algemene maatregelen ter uitvoering van het Verdrag, par. 4, 42 en 44, par. 6) en General Comment nr. 19 (2016) over kinderrechten en overheidsfinanciën (art. 4), vestigt het Comité de aandacht op de verplichtingen van Staten die partij zijn om de volgende maatregelen door te voeren om het kader voor de verwezenlijking van de rechten van kinderen gedurende de adolescentie vast te leggen. De ervaring en perspectieven van adolescenten zelf dienen volledig erkend te worden en serieus genomen te worden bij de ontwikkeling van die maatregelen, zoals: </w:t>
      </w:r>
    </w:p>
    <w:p w14:paraId="4DF31A69" w14:textId="77777777" w:rsidR="00646AD7" w:rsidRPr="000D51EF" w:rsidRDefault="00922F0A" w:rsidP="00EF5C0B">
      <w:pPr>
        <w:pStyle w:val="SingleTxtG"/>
      </w:pPr>
      <w:r>
        <w:tab/>
        <w:t>(a)</w:t>
      </w:r>
      <w:r>
        <w:tab/>
        <w:t xml:space="preserve">Allesomvattende en multisectorale nationale strategieën die hun wortels hebben in het Verdrag, in het bijzonder gericht op adolescenten, om de structurele sociale en economische wortels aan te pakken die ten grondslag liggen aan de schendingen van de rechten van adolescenten en zorgen voor een gecoördineerde aanpak tussen ministeries; </w:t>
      </w:r>
    </w:p>
    <w:p w14:paraId="024919D2" w14:textId="77777777" w:rsidR="00646AD7" w:rsidRPr="000D51EF" w:rsidRDefault="00922F0A" w:rsidP="00EF5C0B">
      <w:pPr>
        <w:pStyle w:val="SingleTxtG"/>
      </w:pPr>
      <w:r>
        <w:tab/>
        <w:t>(b)</w:t>
      </w:r>
      <w:r>
        <w:tab/>
        <w:t xml:space="preserve">Toezicht op de uitvoering om ervoor te zorgen dat de rechten van adolescenten worden gerespecteerd in wetgeving, beleid en diensten; </w:t>
      </w:r>
    </w:p>
    <w:p w14:paraId="49704170" w14:textId="77777777" w:rsidR="00646AD7" w:rsidRPr="000D51EF" w:rsidRDefault="00922F0A" w:rsidP="00EF5C0B">
      <w:pPr>
        <w:pStyle w:val="SingleTxtG"/>
      </w:pPr>
      <w:r>
        <w:tab/>
        <w:t>(c)</w:t>
      </w:r>
      <w:r>
        <w:tab/>
        <w:t xml:space="preserve">Door gegevens te verzamelen die minimaal zijn uitgesplitst naar leeftijd, geslacht, beperking, etniciteit en sociaaleconomische situatie, om het leven van adolescenten zichtbaar te maken, kan het Comité de Staten die partij zijn adviseren om gemeenschappelijke indicatoren overeen te komen voor het volgen van de voortgang bij de uitvoering van de rechten van adolescenten; </w:t>
      </w:r>
    </w:p>
    <w:p w14:paraId="728B4FB6" w14:textId="77777777" w:rsidR="00646AD7" w:rsidRPr="000D51EF" w:rsidRDefault="00922F0A" w:rsidP="00EF5C0B">
      <w:pPr>
        <w:pStyle w:val="SingleTxtG"/>
      </w:pPr>
      <w:r>
        <w:tab/>
        <w:t>(d)</w:t>
      </w:r>
      <w:r>
        <w:tab/>
        <w:t xml:space="preserve">Transparante begrotingsverplichtingen om ervoor te zorgen dat behoorlijk met adolescenten rekening wordt gehouden bij de afweging van concurrerende uitgaveprioriteiten en het naleven van de beginselen van toereikendheid, doeltreffendheid, doelmatigheid en gelijkheid; </w:t>
      </w:r>
    </w:p>
    <w:p w14:paraId="657DEAC8" w14:textId="77777777" w:rsidR="00646AD7" w:rsidRPr="000D51EF" w:rsidRDefault="00922F0A" w:rsidP="00EF5C0B">
      <w:pPr>
        <w:pStyle w:val="SingleTxtG"/>
      </w:pPr>
      <w:r>
        <w:tab/>
        <w:t>(e)</w:t>
      </w:r>
      <w:r>
        <w:tab/>
        <w:t>Training voor alle professionals die met en voor adolescenten werken aan het Verdrag en de bijbehorende verplichtingen, met een focus op de competenties die nodig zijn om met adolescenten te werken in overeenstemming met hun zich ontwikkelende vermogens;</w:t>
      </w:r>
    </w:p>
    <w:p w14:paraId="2AA4E9A0" w14:textId="77777777" w:rsidR="00646AD7" w:rsidRPr="000D51EF" w:rsidRDefault="00922F0A" w:rsidP="00EF5C0B">
      <w:pPr>
        <w:pStyle w:val="SingleTxtG"/>
      </w:pPr>
      <w:r>
        <w:tab/>
        <w:t>(f)</w:t>
      </w:r>
      <w:r>
        <w:tab/>
        <w:t xml:space="preserve">Verspreiding van toegankelijke informatie over kinderrechten en hoe deze kunnen worden uitgeoefend via onder meer het schoolcurriculum, de media, inclusief digitale media, en voorlichtingsmateriaal, met bijzondere inspanningen om jongeren in gemarginaliseerde situaties te bereiken. </w:t>
      </w:r>
    </w:p>
    <w:p w14:paraId="13A37957" w14:textId="77777777" w:rsidR="00646AD7" w:rsidRPr="000D51EF" w:rsidRDefault="00646AD7" w:rsidP="00922F0A">
      <w:pPr>
        <w:pStyle w:val="HChG"/>
      </w:pPr>
      <w:r>
        <w:tab/>
      </w:r>
      <w:bookmarkStart w:id="15" w:name="_Toc468797242"/>
      <w:r>
        <w:t>VII.</w:t>
      </w:r>
      <w:r>
        <w:tab/>
        <w:t>Definitie van het kind</w:t>
      </w:r>
      <w:bookmarkEnd w:id="15"/>
    </w:p>
    <w:p w14:paraId="0172CCC3" w14:textId="77777777" w:rsidR="00646AD7" w:rsidRPr="000D51EF" w:rsidRDefault="00646AD7" w:rsidP="00EF5C0B">
      <w:pPr>
        <w:pStyle w:val="SingleTxtG"/>
      </w:pPr>
      <w:r>
        <w:t>38.</w:t>
      </w:r>
      <w:r>
        <w:tab/>
        <w:t xml:space="preserve">Het Verdrag verbiedt discriminatie op grond van geslacht en leeftijdsgrenzen dienen gelijk te zijn voor meisjes en jongens. </w:t>
      </w:r>
    </w:p>
    <w:p w14:paraId="2C25F343" w14:textId="77777777" w:rsidR="00646AD7" w:rsidRPr="000D51EF" w:rsidRDefault="00646AD7" w:rsidP="00EF5C0B">
      <w:pPr>
        <w:pStyle w:val="SingleTxtG"/>
      </w:pPr>
      <w:r>
        <w:lastRenderedPageBreak/>
        <w:t>39.</w:t>
      </w:r>
      <w:r>
        <w:tab/>
        <w:t>De Staten die partij zijn dienen wetgeving te herzien of te introduceren die het recht van adolescenten erkent om steeds meer verantwoordelijkheid te nemen voor beslissingen die hun leven beïnvloeden. Het Comité adviseert Staten een minimum leeftijdsgrens te hanteren die overeenkomt met het recht op bescherming, het beginsel van het belang van het kind en respect voor de zich ontwikkelende vermogens van adolescenten. Leeftijdsgrenzen dienen bijvoorbeeld het recht te erkennen om beslissingen te nemen met betrekking tot de gezondheidszorg of een behandeling, toestemming voor adoptie, een naamswijziging of verzoeken aan de familierechter. In alle gevallen dient het recht erkend te worden van ieder kind onder die minimumleeftijd om toestemming te geven of te weigeren, en dat het dit recht voldoende begrijpt. Voor een medische behandeling of ingreep moet van de adolescent een verklaring van toestemming worden verkregen, ongeacht of de toestemming van een ouder of voogd vereist is. Ook dient rekening te worden gehouden met de invoering van een rechtsvermoeden dat adolescenten bevoegd zijn toegang te zoeken en te hebben tot preventieve of tijdgevoelige seksuele en reproductieve gezondheidsproducten en -diensten. Het Comité benadrukt dat alle adolescenten, ongeacht hun leeftijd, desgewenst het recht hebben op toegang tot vertrouwelijke medische begeleiding en medisch advies zonder de toestemming van een ouder of voogd. Dit is wat anders dan het recht om medische toestemming te geven en dient ongeacht leeftijdsgrenzen te gelden.</w:t>
      </w:r>
      <w:r w:rsidRPr="00D8466A">
        <w:rPr>
          <w:rStyle w:val="FootnoteReference"/>
        </w:rPr>
        <w:footnoteReference w:id="19"/>
      </w:r>
      <w:r>
        <w:t xml:space="preserve"> </w:t>
      </w:r>
    </w:p>
    <w:p w14:paraId="46F22170" w14:textId="77777777" w:rsidR="00646AD7" w:rsidRPr="000D51EF" w:rsidRDefault="00646AD7" w:rsidP="00EF5C0B">
      <w:pPr>
        <w:pStyle w:val="SingleTxtG"/>
      </w:pPr>
      <w:r>
        <w:t>40.</w:t>
      </w:r>
      <w:r>
        <w:tab/>
        <w:t>Het Comité herinnert Staten die partij zijn aan de verplichting te erkennen dat personen tot de leeftijd van 18 jaar het recht hebben op voortdurende bescherming tegen alle vormen van uitbuiting en misbruik. Het Comité bevestigt opnieuw dat de minimumleeftijd om te trouwen, in het leger te gaan, betrokken te zijn bij gevaarlijke of uitbuitende arbeid en het kopen en de consumptie van alcohol en tabak 18 jaar dient te zijn gezien de mate van daarmee gepaard gaande risico's en schade. De Staten die partij zijn dienen rekening te houden met de noodzaak om bescherming en zich ontwikkelende vermogens met elkaar in evenwicht te laten zijn en een aanvaardbare minimumleeftijd te bepalen bij het vaststellen van de wettelijke leeftijd voor seksuele toestemming. De Staten die partij zijn dienen het te vermijden om adolescenten van ongeveer dezelfde leeftijd strafbaar te stellen voor feitelijke vrijwillige seksuele activiteit zonder dat er sprake is van uitbuiting.</w:t>
      </w:r>
    </w:p>
    <w:p w14:paraId="51F9B1B2" w14:textId="77777777" w:rsidR="00646AD7" w:rsidRPr="000D51EF" w:rsidRDefault="00646AD7" w:rsidP="00922F0A">
      <w:pPr>
        <w:pStyle w:val="HChG"/>
      </w:pPr>
      <w:r>
        <w:tab/>
      </w:r>
      <w:bookmarkStart w:id="16" w:name="_Toc468797243"/>
      <w:r>
        <w:t>VIII.</w:t>
      </w:r>
      <w:r>
        <w:tab/>
        <w:t>Burgerrechten en vrijheden</w:t>
      </w:r>
      <w:bookmarkEnd w:id="16"/>
    </w:p>
    <w:p w14:paraId="7322E050" w14:textId="77777777" w:rsidR="00646AD7" w:rsidRPr="000D51EF" w:rsidRDefault="00646AD7" w:rsidP="00922F0A">
      <w:pPr>
        <w:pStyle w:val="H23G"/>
      </w:pPr>
      <w:r>
        <w:tab/>
      </w:r>
      <w:r>
        <w:tab/>
        <w:t>Geboorteaangifte</w:t>
      </w:r>
    </w:p>
    <w:p w14:paraId="1C04576C" w14:textId="77777777" w:rsidR="00646AD7" w:rsidRPr="000D51EF" w:rsidRDefault="00646AD7" w:rsidP="00EF5C0B">
      <w:pPr>
        <w:pStyle w:val="SingleTxtG"/>
      </w:pPr>
      <w:r>
        <w:t>41.</w:t>
      </w:r>
      <w:r>
        <w:tab/>
        <w:t xml:space="preserve">Het ontbreken van een geboortebewijs kan additionele complicaties tot gevolg hebben tijdens de adolescentie, zoals de ontzegging van basale diensten, geen nationaliteit kunnen aantonen of een legitimatiebewijs kunnen krijgen, een verhoogd risico op het slachtoffer worden van uitbuiting of mensenhandel, gebrek aan de noodzakelijke garanties in het strafrecht- en immigratiesysteem en de dienstplicht voor het leger van minderjarigen. Adolescenten die niet zijn aangegeven bij de geboorte of direct daarna dienen kosteloos een verlaat geboortebewijs en inschrijvingsbewijs uitgereikt te krijgen. </w:t>
      </w:r>
    </w:p>
    <w:p w14:paraId="6D9A9589" w14:textId="77777777" w:rsidR="00646AD7" w:rsidRPr="000D51EF" w:rsidRDefault="00646AD7" w:rsidP="00922F0A">
      <w:pPr>
        <w:pStyle w:val="H23G"/>
      </w:pPr>
      <w:r>
        <w:tab/>
      </w:r>
      <w:r>
        <w:tab/>
        <w:t>Vrijheid van meningsuiting</w:t>
      </w:r>
    </w:p>
    <w:p w14:paraId="5E6797A9" w14:textId="77777777" w:rsidR="00646AD7" w:rsidRPr="000D51EF" w:rsidRDefault="00646AD7" w:rsidP="00EF5C0B">
      <w:pPr>
        <w:pStyle w:val="SingleTxtG"/>
      </w:pPr>
      <w:r>
        <w:t>42.</w:t>
      </w:r>
      <w:r>
        <w:tab/>
        <w:t xml:space="preserve">Artikel 13 van het Verdrag bevestigt dat kinderen het recht hebben op vrijheid van meningsuiting en dat er alleen beperkingen gesteld kunnen worden aan de uitoefening van dat recht krachtens artikel 13, par 2. De verplichting van ouders en verzorgers om de juiste begeleiding in overeenstemming met de zich ontwikkelende vermogens van adolescenten te geven dient niet te conflicteren met het recht van adolescenten op vrijheid van meningsuiting. Adolescenten hebben het recht informatie en ideeën te zoeken, te ontvangen en af te leiden en daarvoor een verspreidingsmiddel naar keuze te gebruiken, of dat nu schriftelijk, </w:t>
      </w:r>
      <w:r>
        <w:lastRenderedPageBreak/>
        <w:t xml:space="preserve">mondeling of in gebarentaal is, of in non-verbale uitingen als beelden en kunstobjecten. Onder uitdrukkingsmiddelen vallen bijvoorbeeld boeken, kranten, pamfletten, posters, banners, digitale en audiovisuele media, maar ook kleding en persoonlijke stijl. </w:t>
      </w:r>
    </w:p>
    <w:p w14:paraId="47322801" w14:textId="77777777" w:rsidR="00646AD7" w:rsidRPr="000D51EF" w:rsidRDefault="00646AD7" w:rsidP="00922F0A">
      <w:pPr>
        <w:pStyle w:val="H23G"/>
      </w:pPr>
      <w:r>
        <w:tab/>
      </w:r>
      <w:r>
        <w:tab/>
        <w:t>Vrijheid van godsdienst</w:t>
      </w:r>
    </w:p>
    <w:p w14:paraId="6A3580A2" w14:textId="77777777" w:rsidR="00646AD7" w:rsidRPr="000D51EF" w:rsidRDefault="00646AD7" w:rsidP="00EF5C0B">
      <w:pPr>
        <w:pStyle w:val="SingleTxtG"/>
      </w:pPr>
      <w:r>
        <w:t>43.</w:t>
      </w:r>
      <w:r>
        <w:tab/>
        <w:t>Het Comité dringt er bij Staten die partij zijn op aan niet langer terughoudendheid te betrachten met betrekking tot artikel 14 van het Verdrag dat aandacht schenkt aan het recht van het kind op vrijheid van religie en de rechten en plichten erkent van ouders en voogden om het kind sturing te geven op een wijze die overeenkomt met zijn of haar zich ontwikkelende vermogens (zie ook art. 5). Met andere woorden, het is het kind dat het recht op vrijheid van godsdienst uitoefent, niet de ouder, en de ouderrol wordt noodzakelijkerwijs minder naarmate het kind een actievere rol krijgt bij het uitoefenen van keuzes gedurende de adolescentie. Vrijheid van godsdienst dient gerespecteerd te worden in scholen en andere instellingen, ook met betrekking tot de keuze of godsdienstlessen gevolgd worden en discriminatie op grond van godsdienstige overtuigingen dient te worden verboden.</w:t>
      </w:r>
      <w:r w:rsidRPr="00D8466A">
        <w:rPr>
          <w:rStyle w:val="FootnoteReference"/>
        </w:rPr>
        <w:footnoteReference w:id="20"/>
      </w:r>
    </w:p>
    <w:p w14:paraId="2194B1A0" w14:textId="77777777" w:rsidR="00646AD7" w:rsidRPr="000D51EF" w:rsidRDefault="00646AD7" w:rsidP="00922F0A">
      <w:pPr>
        <w:pStyle w:val="H23G"/>
      </w:pPr>
      <w:r>
        <w:tab/>
      </w:r>
      <w:r>
        <w:tab/>
        <w:t>Vrijheid van vereniging</w:t>
      </w:r>
    </w:p>
    <w:p w14:paraId="606F1ABE" w14:textId="77777777" w:rsidR="00646AD7" w:rsidRPr="000D51EF" w:rsidRDefault="00646AD7" w:rsidP="00EF5C0B">
      <w:pPr>
        <w:pStyle w:val="SingleTxtG"/>
      </w:pPr>
      <w:r>
        <w:t>44.</w:t>
      </w:r>
      <w:r>
        <w:tab/>
        <w:t>Adolescenten willen en moeten steeds meer tijd met leeftijdsgenoten doorbrengen. De daarmee gepaard gaande voordelen zijn niet alleen van maatschappelijke aard maar dragen ook bij aan competenties die essentieel zijn voor het vormen van succesvolle relaties, dienstverbanden en participatie in de gemeenschap door o.a. emotionele geletterdheid, het gevoel ergens bij te horen, vaardigheden zoals het oplossen van conflicten en het opbouwen van vertrouwen en intimiteit. De omgang met leeftijdsgenoten is een belangrijke bouwsteen in de ontwikkeling van de adolescent, waarvan de waarde dient te worden erkend in de school- en leeromgeving, bij recreatieve en culturele activiteiten en mogelijkheden voor sociale, maatschappelijke, godsdienstige en politieke betrokkenheid.</w:t>
      </w:r>
    </w:p>
    <w:p w14:paraId="2161E023" w14:textId="77777777" w:rsidR="00646AD7" w:rsidRPr="000D51EF" w:rsidRDefault="00646AD7" w:rsidP="00EF5C0B">
      <w:pPr>
        <w:pStyle w:val="SingleTxtG"/>
      </w:pPr>
      <w:r>
        <w:t>45.</w:t>
      </w:r>
      <w:r>
        <w:tab/>
        <w:t xml:space="preserve">De Staten die partij zijn dienen te waarborgen dat het recht van adolescenten op vrijheid van vereniging en vreedzame vergadering in alle vormen volledig gerespecteerd wordt, overeenkomstig de beperkingen die in artikel 15, par. 2 van het Verdrag uiteen zijn gezet, o.a. door veilige ruimtes voor meisjes en jongens te bieden. Wettelijke erkenning dient aan adolescenten verleend te worden om hun eigen verenigingen, clubs, organisaties, parlementen en fora op te richten, zowel op school als daarbuiten, onlinenetwerken te vormen, lid te worden van politieke partijen en eigen vakbonden te vormen of daar lid van te worden. Maatregelen dienen ook te worden ingevoerd om adolescenten die mensenrechten verdedigen te beschermen, vooral meisjes, die vaak te maken hebben met genderspecifieke bedreigingen en geweld. </w:t>
      </w:r>
    </w:p>
    <w:p w14:paraId="42E074E2" w14:textId="77777777" w:rsidR="00646AD7" w:rsidRPr="000D51EF" w:rsidRDefault="00646AD7" w:rsidP="00922F0A">
      <w:pPr>
        <w:pStyle w:val="H23G"/>
      </w:pPr>
      <w:r>
        <w:tab/>
      </w:r>
      <w:r>
        <w:tab/>
        <w:t>Privacy en geheimhouding</w:t>
      </w:r>
    </w:p>
    <w:p w14:paraId="37F0D798" w14:textId="77777777" w:rsidR="00646AD7" w:rsidRPr="000D51EF" w:rsidRDefault="00646AD7" w:rsidP="00EF5C0B">
      <w:pPr>
        <w:pStyle w:val="SingleTxtG"/>
      </w:pPr>
      <w:r>
        <w:t>46.</w:t>
      </w:r>
      <w:r>
        <w:tab/>
        <w:t>Het recht op privacy wordt steeds belangrijker gedurende de adolescentie. Het Comité heeft herhaaldelijk zijn zorgen geuit over schendingen van de privacy met betrekking tot bijvoorbeeld vertrouwelijk medisch advies; ruimte voor en bezittingen van adolescenten in instellingen; correspondentie en andere communicatie, hetzij in het gezin, hetzij in andere vormen van zorg; en de blootstelling van degenen die betrokken zijn bij strafprocedures.</w:t>
      </w:r>
      <w:r w:rsidRPr="00D8466A">
        <w:rPr>
          <w:rStyle w:val="FootnoteReference"/>
        </w:rPr>
        <w:footnoteReference w:id="21"/>
      </w:r>
      <w:r>
        <w:t xml:space="preserve"> Het recht op privacy geeft adolescenten ook het recht op toegang tot hun gegevens in het bezit van onderwijs-, gezondheidszorg-, voorzieningen voor kinderopvang en </w:t>
      </w:r>
      <w:r>
        <w:lastRenderedPageBreak/>
        <w:t>jeugdbescherming en rechtssystemen. Dergelijke informatie mag alleen toegankelijk zijn in overeenstemming met de juiste procesgaranties en voor personen die wettelijk zijn gemachtigd om deze te ontvangen en te gebruiken.</w:t>
      </w:r>
      <w:r w:rsidRPr="00D8466A">
        <w:rPr>
          <w:rStyle w:val="FootnoteReference"/>
        </w:rPr>
        <w:footnoteReference w:id="22"/>
      </w:r>
      <w:r>
        <w:t xml:space="preserve"> De Staten die partij zijn moeten via dialoog met adolescenten nagaan waar privacyschendingen hebben plaatsgevonden, onder meer met betrekking tot persoonlijke betrokkenheid bij de digitale omgeving en het gebruik van gegevens door commerciële en andere entiteiten. De Staten die partij zijn moeten ook alle passende maatregelen nemen om de vertrouwelijkheid van gegevens en de privacy van adolescenten te versterken en te waarborgen, in overeenstemming met hun zich ontwikkelende capaciteiten. </w:t>
      </w:r>
    </w:p>
    <w:p w14:paraId="2D8BC5BA" w14:textId="77777777" w:rsidR="00646AD7" w:rsidRPr="000D51EF" w:rsidRDefault="00646AD7" w:rsidP="00922F0A">
      <w:pPr>
        <w:pStyle w:val="H23G"/>
      </w:pPr>
      <w:r>
        <w:tab/>
      </w:r>
      <w:r>
        <w:tab/>
        <w:t>Recht op informatie</w:t>
      </w:r>
    </w:p>
    <w:p w14:paraId="662D2C70" w14:textId="77777777" w:rsidR="00646AD7" w:rsidRPr="000D51EF" w:rsidRDefault="00646AD7" w:rsidP="00EF5C0B">
      <w:pPr>
        <w:pStyle w:val="SingleTxtG"/>
      </w:pPr>
      <w:r>
        <w:t>47.</w:t>
      </w:r>
      <w:r>
        <w:tab/>
        <w:t>Toegang tot informatie omvat alle vormen van media, maar er moet bijzondere aandacht worden besteed aan de digitale omgeving, aangezien adolescenten in toenemende mate mobiele technologie gebruiken en sociale en digitale media het primaire middel worden waarmee zij communiceren en informatie ontvangen, creëren en verspreiden. Adolescenten gebruiken de online-omgeving onder andere om hun identiteit te verkennen, te leren, deel te nemen, meningen te uiten, te spelen, te socialiseren, politiek betrokken te raken en kansen op werk te ontdekken. Bovendien biedt internet mogelijkheden om toegang te krijgen tot online gezondheidsinformatie, beschermende ondersteuning en advies- en begeleidingsbronnen, en kan het door staten worden gebruikt als een manier om met adolescenten te communiceren en contact met hen op te nemen. Het vermogen om toegang te krijgen tot relevante informatie kan een aanzienlijk positief effect hebben op gelijkheid. De aanbevelingen uit de algemene besprekingen over de media van 1996 en 2014 geven een bijzondere weerklank voor adolescenten.</w:t>
      </w:r>
      <w:r w:rsidRPr="00D8466A">
        <w:rPr>
          <w:rStyle w:val="FootnoteReference"/>
        </w:rPr>
        <w:footnoteReference w:id="23"/>
      </w:r>
      <w:r>
        <w:t xml:space="preserve"> De Staten die partij zijn dienen maatregelen te nemen om ervoor te zorgen dat alle adolescenten zonder discriminatie toegang hebben tot verschillende vormen van media en zij dienen gelijke toegang tot digitaal burgerschap te ondersteunen en te bevorderen, onder meer door de bevordering van toegankelijke formats voor adolescenten met een beperking. Opleiding en ondersteuning moeten worden verstrekt als onderdeel van het basisonderwijscurriculum om de ontwikkeling van de vaardigheden van jongeren op het gebied van digitale, informatie- en media- en sociale geletterdheid te waarborgen.</w:t>
      </w:r>
      <w:r w:rsidRPr="00D8466A">
        <w:rPr>
          <w:rStyle w:val="FootnoteReference"/>
        </w:rPr>
        <w:footnoteReference w:id="24"/>
      </w:r>
      <w:r>
        <w:t xml:space="preserve"> </w:t>
      </w:r>
    </w:p>
    <w:p w14:paraId="6E0EA38B" w14:textId="77777777" w:rsidR="00646AD7" w:rsidRPr="000D51EF" w:rsidRDefault="00646AD7" w:rsidP="00EF5C0B">
      <w:pPr>
        <w:pStyle w:val="SingleTxtG"/>
      </w:pPr>
      <w:r>
        <w:t>48.</w:t>
      </w:r>
      <w:r>
        <w:tab/>
        <w:t xml:space="preserve">Ook de digitale omgeving kan adolescenten blootstellen aan risico's als online fraude, geweld en haatdragende uitspraken, seksistische taal tegen meisjes en adolescenten die lesbisch, homoseksueel, biseksueel, transgender of interseksueel zijn, cyberpesten, grooming voor seksuele uitbuiting, mensenhandel en kinderporno, overseksualisering en gerichte benadering door gewapende of extremistische groeperingen. Dit mag echter de toegang van adolescenten tot de digitale omgeving niet beperken. Daarvoor in de plaats dient hun veiligheid bevorderd te worden door holistische strategieën zoals digitale geletterdheid met betrekking tot de online risico's en strategieën om ze veilig te houden, aangescherpte wetgeving en handhavingsmechanismen om online misbruik aan te pakken en straffeloosheid te bestrijden, en ouders en professionals die met kinderen werken daarin op te leiden. Er wordt bij Staten die partij zijn op aangedrongen te waarborgen dat adolescenten actief betrokken worden bij het opzetten en uitvoeren van initiatieven die gericht zijn op het koesteren van veiligheid online, ook door leeftijdsgenoten in de gaten te houden. Er dient te worden geïnvesteerd in de ontwikkeling van technologische oplossingen voor preventie en </w:t>
      </w:r>
      <w:r>
        <w:lastRenderedPageBreak/>
        <w:t>bescherming en de beschikbaarheid van hulp en ondersteuning. De Staten die partij zijn worden gestimuleerd van bedrijven te verlangen dat ze zich verplichten tot een beleid van gepaste zorgvuldigheid met betrekking tot kinderrechten om zo de invloed van risico's voor de rechten van kinderen bij het gebruik van digitale media en informatie- en communicatietechnologie te kunnen vaststellen, voorkomen en verminderen.</w:t>
      </w:r>
    </w:p>
    <w:p w14:paraId="42A50A0D" w14:textId="77777777" w:rsidR="00646AD7" w:rsidRPr="000D51EF" w:rsidRDefault="00646AD7" w:rsidP="00922F0A">
      <w:pPr>
        <w:pStyle w:val="HChG"/>
      </w:pPr>
      <w:r>
        <w:tab/>
      </w:r>
      <w:bookmarkStart w:id="17" w:name="_Toc468797244"/>
      <w:r>
        <w:t>IX.</w:t>
      </w:r>
      <w:r>
        <w:tab/>
        <w:t>Geweld tegen kinderen</w:t>
      </w:r>
      <w:bookmarkEnd w:id="17"/>
      <w:r>
        <w:t xml:space="preserve"> </w:t>
      </w:r>
    </w:p>
    <w:p w14:paraId="507F669E" w14:textId="77777777" w:rsidR="00646AD7" w:rsidRPr="000D51EF" w:rsidRDefault="00646AD7" w:rsidP="00922F0A">
      <w:pPr>
        <w:pStyle w:val="H23G"/>
      </w:pPr>
      <w:r>
        <w:tab/>
      </w:r>
      <w:r>
        <w:tab/>
        <w:t>Bescherming tegen alle vormen van geweld</w:t>
      </w:r>
    </w:p>
    <w:p w14:paraId="4290A9B1" w14:textId="77777777" w:rsidR="00646AD7" w:rsidRPr="000D51EF" w:rsidRDefault="00646AD7" w:rsidP="00EF5C0B">
      <w:pPr>
        <w:pStyle w:val="SingleTxtG"/>
      </w:pPr>
      <w:r>
        <w:t>49.</w:t>
      </w:r>
      <w:r>
        <w:tab/>
        <w:t xml:space="preserve">Het Comité verwijst Staten die partij zijn naar de aanbevelingen in General Comment nr. 13 (2011) over het recht van het kind op bescherming tegen alle vormen van geweld en General Comment nr. 18 (2014) over schadelijke praktijken, voor omvattende wetgevende, bestuurlijke, sociale en onderwijsmaatregelen om een einde te maken aan alle vormen van geweld, waaronder een wettelijk verbod op lijfstraffen in alle contexten, en om door ombuiging een einde te maken aan alle schadelijke praktijken. De Staten die partij zijn bij het Verdrag dienen meer mogelijkheden te creëren voor het opschalen van institutionele regelingen voor preventie en rehabilitatie, en sociale re-integratie van adolescenten die slachtoffer zijn geworden. Het Comité vestigt de aandacht op de noodzaak om adolescenten te betrekken bij de ontwikkeling van preventiestrategieën en beschermingshulp voor slachtoffers van geweld. </w:t>
      </w:r>
    </w:p>
    <w:p w14:paraId="42CAD387" w14:textId="77777777" w:rsidR="00646AD7" w:rsidRPr="000D51EF" w:rsidRDefault="00646AD7" w:rsidP="00922F0A">
      <w:pPr>
        <w:pStyle w:val="HChG"/>
      </w:pPr>
      <w:r>
        <w:tab/>
      </w:r>
      <w:bookmarkStart w:id="18" w:name="_Toc468797245"/>
      <w:r>
        <w:t>Gezinsomgeving en alternatieve zorg</w:t>
      </w:r>
      <w:bookmarkEnd w:id="18"/>
    </w:p>
    <w:p w14:paraId="7A21AEEB" w14:textId="77777777" w:rsidR="00646AD7" w:rsidRPr="000D51EF" w:rsidRDefault="00646AD7" w:rsidP="00922F0A">
      <w:pPr>
        <w:pStyle w:val="H23G"/>
      </w:pPr>
      <w:r>
        <w:tab/>
      </w:r>
      <w:r>
        <w:tab/>
        <w:t>Ondersteuning voor ouders en verzorgers</w:t>
      </w:r>
    </w:p>
    <w:p w14:paraId="79405525" w14:textId="77777777" w:rsidR="00646AD7" w:rsidRPr="000D51EF" w:rsidRDefault="00646AD7" w:rsidP="00EF5C0B">
      <w:pPr>
        <w:pStyle w:val="SingleTxtG"/>
      </w:pPr>
      <w:r>
        <w:t>50.</w:t>
      </w:r>
      <w:r>
        <w:tab/>
        <w:t>De rol van ouders en verzorgers bij het bieden van veiligheid, emotionele stabiliteit, stimulansen en bescherming aan kinderen blijft belangrijk gedurende de adolescentie. Het Comité benadrukt dat de verplichtingen van Staten die partij zijn om passende bijstand te verlenen aan ouders en verzorgers, zoals uiteengezet in art. 18, lid 2 en 3 van het Verdrag, en ouders te helpen bij het bieden van ondersteuning en  leefomstandigheden die nodig zijn voor een optimale ontwikkeling overeenkomstig artikel 27, lid 2 evenzeer gelden voor de ouders van adolescenten. Dergelijke ondersteuning dient de rechten en zich ontwikkelende vermogens van adolescenten en de toenemende bijdrage die zij leveren aan hun eigen leven te eerbiedigen. Staten dienen te waarborgen dat zij uit naam van traditionele waarden geen geweld tolereren of goedkeuren, ongelijke machtsrelaties binnen het gezin versterken en zo adolescenten de mogelijkheid ontnemen hun grondrechten uit te oefenen.</w:t>
      </w:r>
      <w:r w:rsidRPr="00D8466A">
        <w:rPr>
          <w:rStyle w:val="FootnoteReference"/>
        </w:rPr>
        <w:footnoteReference w:id="25"/>
      </w:r>
    </w:p>
    <w:p w14:paraId="340F5C4F" w14:textId="77777777" w:rsidR="00646AD7" w:rsidRPr="000D51EF" w:rsidRDefault="00646AD7" w:rsidP="00EF5C0B">
      <w:pPr>
        <w:pStyle w:val="SingleTxtG"/>
      </w:pPr>
      <w:r>
        <w:t>51.</w:t>
      </w:r>
      <w:r>
        <w:tab/>
        <w:t>Het Comité vestigt de aandacht van Staten die partij zijn op de betekenis van de toenemende kloof tussen de omgeving waarin adolescenten leven, gekenmerkt door het digitale tijdperk en mondialisering, en die waar hun ouders of verzorgers in zijn opgegroeid. Adolescenten worden blootgesteld aan en onvermijdelijk beïnvloed door een wereldwijde commerciële wereld, waar geen sprake is van bemiddeling of regulering door ouderlijke of gemeenschapswaarden. Deze veranderende context maakt het lastig voor ouders en verzorgers om effectief met adolescenten te communiceren en sturing en bescherming te bieden op een wijze die rekening houdt met de huidige realiteit van hun leven. Het Comité adviseert Staten die partij zijn onderzoek te doen samen met adolescenten en hun ouders en verzorgers naar de aard van de benodigde sturing, hulp, opleiding en ondersteuning om het probleem van de uiteenlopende ervaringen van beide generaties aan te pakken.</w:t>
      </w:r>
    </w:p>
    <w:p w14:paraId="4C5523E1" w14:textId="77777777" w:rsidR="00646AD7" w:rsidRPr="000D51EF" w:rsidRDefault="00646AD7" w:rsidP="00922F0A">
      <w:pPr>
        <w:pStyle w:val="H23G"/>
      </w:pPr>
      <w:r>
        <w:lastRenderedPageBreak/>
        <w:tab/>
      </w:r>
      <w:r>
        <w:tab/>
        <w:t>Adolescenten in alternatieve zorg</w:t>
      </w:r>
    </w:p>
    <w:p w14:paraId="794E5F21" w14:textId="2F969074" w:rsidR="00646AD7" w:rsidRPr="000D51EF" w:rsidRDefault="00646AD7" w:rsidP="00EF5C0B">
      <w:pPr>
        <w:pStyle w:val="SingleTxtG"/>
      </w:pPr>
      <w:r>
        <w:t>52.</w:t>
      </w:r>
      <w:r>
        <w:tab/>
        <w:t>Er is belangrijk bewijs dat langdurig verblijf in grote instellingen slechte resultaten oplevert bij adolescenten, evenals verblijf  in andere vormen van alternatieve zorg, zoals pleegzorg of zorg in kleine groepen, al zijn de resultaten daar veel minder slecht. Deze adolescenten bereiken minder in hun opleiding, zijn vaker afhankelijk van een bijstandsuitkering en lopen een groter risico dak- of thuisloos te worden, in de gevangenis terecht te komen, ongewenst zwanger te worden, jong ouder te worden, en hebben een groter risico op drugs- of alcoholmisbruik, zelfbeschadiging en zelfmoord. Adolescenten in alternatieve zorg dienen normaal gesproken de instelling te verlaten als ze 16-18 jaar worden en zijn vooral kwetsbaar voor seksueel misbruik en uitbuiting, mensenhandel en geweld omdat ze niet kunnen terugvallen op ondersteuning en geen kans hebben gekregen de vaardigheden en vermogens op te bouwen om zichzelf te beschermen. Adolescenten met een beperking wordt vaak de mogelijkheid ontzegd in een gemeenschap te leven en worden overgedragen aan instellingen voor volwassenen, waar ze nog meer risico lopen op schendingen van hun rechten.</w:t>
      </w:r>
    </w:p>
    <w:p w14:paraId="4EA46083" w14:textId="77777777" w:rsidR="00646AD7" w:rsidRPr="000D51EF" w:rsidRDefault="00646AD7" w:rsidP="00EF5C0B">
      <w:pPr>
        <w:pStyle w:val="SingleTxtG"/>
      </w:pPr>
      <w:r>
        <w:t>53.</w:t>
      </w:r>
      <w:r>
        <w:tab/>
        <w:t xml:space="preserve">De Staten die partij zijn dienen zich sterk te maken voor en meer te investeren in het ondersteunen van adolescenten in alternatieve zorg. Een voorkeur voor pleeggezinnen en kleinere tehuizen dient samen te gaan met de benodigde maatregelen om discriminatie aan te pakken, te zorgen voor regelmatige beoordelingen van de individuele situatie van adolescenten, hun onderwijs te ondersteunen, ze een echte stem te geven in de processen die hen betreffen en meervoudige verplaatsingen te vermijden. Er wordt bij Staten die partij zijn op aangedrongen ervoor te zorgen dat plaatsing in een instelling alleen wordt gebruikt als laatste mogelijkheid en dat de juiste bescherming wordt geboden aan alle kinderen die in een instelling leven, ook door toegang tot mechanismen en rechtspraak voor vertrouwelijke klachtenprocedures. Staten die partij zijn dienen ook maatregelen te nemen om de onafhankelijkheid te ondersteunen en de kansen in het leven van adolescenten in alternatieve zorg te verbeteren, en aandacht te schenken aan de bijzondere kwetsbaarheden en onzekerheden waar zij mee te maken krijgen wanneer ze oud genoeg zijn om die zorg te verlaten. </w:t>
      </w:r>
    </w:p>
    <w:p w14:paraId="13174E3F" w14:textId="77777777" w:rsidR="00646AD7" w:rsidRPr="000D51EF" w:rsidRDefault="00646AD7" w:rsidP="00EF5C0B">
      <w:pPr>
        <w:pStyle w:val="SingleTxtG"/>
      </w:pPr>
      <w:r>
        <w:t>54.</w:t>
      </w:r>
      <w:r>
        <w:tab/>
        <w:t>Adolescenten die de alternatieve zorg verlaten hebben hulp nodig bij de voorbereiding op deze overgang, het toegang krijgen tot werk, huisvesting en psychologische ondersteuning, het deelnemen aan rehabilitatie met hun gezin waar dat in hun belang is en het toegang krijgen tot nazorg overeenkomstig de Richtlijnen voor de Alternatieve Zorg van Kinderen.</w:t>
      </w:r>
      <w:r w:rsidRPr="00D8466A">
        <w:rPr>
          <w:rStyle w:val="FootnoteReference"/>
        </w:rPr>
        <w:footnoteReference w:id="26"/>
      </w:r>
      <w:r>
        <w:t xml:space="preserve"> </w:t>
      </w:r>
    </w:p>
    <w:p w14:paraId="00217366" w14:textId="77777777" w:rsidR="00646AD7" w:rsidRPr="000D51EF" w:rsidRDefault="00646AD7" w:rsidP="00922F0A">
      <w:pPr>
        <w:pStyle w:val="H23G"/>
      </w:pPr>
      <w:r>
        <w:tab/>
      </w:r>
      <w:r>
        <w:tab/>
        <w:t>Adolescenten als gezinshoofd</w:t>
      </w:r>
    </w:p>
    <w:p w14:paraId="1E54BF7D" w14:textId="77777777" w:rsidR="00646AD7" w:rsidRPr="000D51EF" w:rsidRDefault="00646AD7" w:rsidP="00EF5C0B">
      <w:pPr>
        <w:pStyle w:val="SingleTxtG"/>
      </w:pPr>
      <w:r>
        <w:t>55.</w:t>
      </w:r>
      <w:r>
        <w:tab/>
        <w:t>Een aanzienlijk aantal adolescenten is de primaire verzorger van het gezin, ofwel omdat ze zelf ouder zijn of omdat hun ouders overleden of afwezig zijn. Artikel 24 en 27 van het Verdrag vereisen dat adolescente ouders en verzorgers de basiskennis over de gezondheid, voeding en borstvoeding van kinderen geboden wordt en dat zij de juiste ondersteuning krijgen om hun verantwoordelijkheden te kunnen vervullen jegens de kinderen waar ze verantwoordelijk voor zijn, en indien nodig materiële hulp krijgen met betrekking tot voeding, kleding en huisvesting. Adolescenten die zorgtaken uitvoeren hebben extra ondersteuning nodig om van hun recht op onderwijs, spel en participatie gebruik te kunnen maken. De Staten die partij zijn dienen met name sociale beschermingsinterventies op belangrijke momenten in de levensloop in te voeren en te reageren op de specifieke behoeften van adolescenten die zorgtaken uitvoeren.</w:t>
      </w:r>
    </w:p>
    <w:p w14:paraId="3442D110" w14:textId="77777777" w:rsidR="00646AD7" w:rsidRPr="000D51EF" w:rsidRDefault="00646AD7" w:rsidP="00922F0A">
      <w:pPr>
        <w:pStyle w:val="HChG"/>
      </w:pPr>
      <w:r>
        <w:lastRenderedPageBreak/>
        <w:tab/>
      </w:r>
      <w:bookmarkStart w:id="19" w:name="_Toc468797246"/>
      <w:r>
        <w:t>XI.</w:t>
      </w:r>
      <w:r>
        <w:tab/>
        <w:t>Basisgezondheid en welzijn</w:t>
      </w:r>
      <w:bookmarkEnd w:id="19"/>
    </w:p>
    <w:p w14:paraId="025B32F3" w14:textId="77777777" w:rsidR="00646AD7" w:rsidRPr="000D51EF" w:rsidRDefault="00646AD7" w:rsidP="00922F0A">
      <w:pPr>
        <w:pStyle w:val="H23G"/>
      </w:pPr>
      <w:r>
        <w:tab/>
      </w:r>
      <w:r>
        <w:tab/>
        <w:t>Gezondheidszorg</w:t>
      </w:r>
    </w:p>
    <w:p w14:paraId="7FBE4979" w14:textId="77777777" w:rsidR="00646AD7" w:rsidRPr="000D51EF" w:rsidRDefault="00646AD7" w:rsidP="00EF5C0B">
      <w:pPr>
        <w:pStyle w:val="SingleTxtG"/>
      </w:pPr>
      <w:r>
        <w:t>56.</w:t>
      </w:r>
      <w:r>
        <w:tab/>
        <w:t xml:space="preserve">Gezondheidszorg is zelden opgezet om te zorgen voor de specifieke gezondheidszorgbehoeften van adolescenten, en dit wordt extra bemoeilijkt door het ontbreken van demografische en epidemiologische gegevens en statistische gegevens uitgesplitst naar leeftijd, geslacht en beperking. Als adolescenten hulp zoeken lopen ze vaak aan tegen wettelijke en financiële barrières, discriminatie, gebrek aan geheimhouding en respect, geweld en misbruik, stigma's en een veroordelende houding van gezondheidswerkers. </w:t>
      </w:r>
    </w:p>
    <w:p w14:paraId="4215A5D0" w14:textId="77777777" w:rsidR="00646AD7" w:rsidRPr="000D51EF" w:rsidRDefault="00646AD7" w:rsidP="00EF5C0B">
      <w:pPr>
        <w:pStyle w:val="SingleTxtG"/>
      </w:pPr>
      <w:r>
        <w:t>57.</w:t>
      </w:r>
      <w:r>
        <w:tab/>
        <w:t xml:space="preserve">De uiteindelijke gezondheid van adolescenten is hoofdzakelijk een gevolg van sociale en economische determinanten en structurele ongelijkheden die tot stand komen door gedrag en handelingen, van de persoon, van leeftijdsgenoten, de familie, de school, de gemeenschap en de maatschappij. Daarom dienen Staten die partij zijn in samenwerking met adolescenten uitgebreide beoordelingen met vele belanghebbenden uit te voeren van de aard en mate van gezondheidsproblemen van adolescenten en de barrières waar zij tegenaan lopen bij de toegang tot diensten, als basis voor toekomstig gezondheidszorgbeleid, en regelingen en strategieën voor de volksgezondheid. </w:t>
      </w:r>
    </w:p>
    <w:p w14:paraId="5386FAE5" w14:textId="77777777" w:rsidR="00646AD7" w:rsidRPr="000D51EF" w:rsidRDefault="00646AD7" w:rsidP="00EF5C0B">
      <w:pPr>
        <w:pStyle w:val="SingleTxtG"/>
      </w:pPr>
      <w:r>
        <w:t>58.</w:t>
      </w:r>
      <w:r>
        <w:tab/>
        <w:t>Geestelijke gezondheid en psychosociale problemen als zelfmoord, zelfbeschadiging, eetstoornissen en depressie zijn de voornaamste oorzaken van een slechte gezondheid, ziekelijkheid en sterfte onder adolescenten, met name in kwetsbare groepen.</w:t>
      </w:r>
      <w:r w:rsidRPr="00D8466A">
        <w:rPr>
          <w:rStyle w:val="FootnoteReference"/>
        </w:rPr>
        <w:footnoteReference w:id="27"/>
      </w:r>
      <w:r>
        <w:t xml:space="preserve"> Dergelijke problemen komen voort uit een complex samenspel van genetische, biologische, persoonlijkheids- en omgevingsoorzaken en worden bemoeilijkt door bijvoorbeeld meegemaakte conflicten, ontheemd zijn, discriminatie, pesten en sociale uitsluiting, evenals druk die gevoeld wordt wat betreft lichaamsbeeld en een cultuur van "perfectie". Tot de factoren waarvan bekend is dat ze veerkracht en een gezonde ontwikkeling bevorderen en beschermen tegen geestelijk ongezond zijn, behoren sterke banden met en ondersteuning door belangrijke volwassenen, positieve rolmodellen, een passende levensstandaard, toegang tot kwalitatief goed voortgezet onderwijs, bescherming tegen geweld en discriminatie, gelegenheid tot het hebben van invloed en het nemen van beslissingen, bewustwording van de geestelijke gezondheid, probleemoplossings- en redzaamheidsvaardigheden en een veilige en gezonde lokale omgeving. Het Comité benadrukt dat Staten die partij zijn een aanpak zouden moeten kiezen op basis van volksgezondheid en psychosociale ondersteuning in plaats van te veel medicalisering en institutionalisering. Er is een allesomvattende multisectorale aanpak nodig door middel van geïntegreerde systemen van geestelijke gezondheidszorg voor adolescenten waarbij ouders, leeftijdsgenoten, de bredere familie en de school betrokken zijn en hulp en ondersteuning geboden wordt door daarvoor opgeleide medewerkers.</w:t>
      </w:r>
      <w:r w:rsidRPr="00D8466A">
        <w:rPr>
          <w:rStyle w:val="FootnoteReference"/>
        </w:rPr>
        <w:footnoteReference w:id="28"/>
      </w:r>
      <w:r>
        <w:t xml:space="preserve"> </w:t>
      </w:r>
    </w:p>
    <w:p w14:paraId="7C541754" w14:textId="77777777" w:rsidR="00646AD7" w:rsidRPr="000D51EF" w:rsidRDefault="00646AD7" w:rsidP="00EF5C0B">
      <w:pPr>
        <w:pStyle w:val="SingleTxtG"/>
      </w:pPr>
      <w:r>
        <w:t>59.</w:t>
      </w:r>
      <w:r>
        <w:tab/>
        <w:t xml:space="preserve"> Het Comité dringt er bij Staten die partij zijn op aan om een allesomvattend gender- en seksualiteitsgevoelig beleid voor seksuele en reproductieve gezondheid voor adolescenten aan te nemen, waarbij wordt benadrukt dat ongelijke toegang voor adolescenten tot dergelijke informatie, producten en diensten neerkomt op discriminatie.</w:t>
      </w:r>
      <w:r w:rsidRPr="00D8466A">
        <w:rPr>
          <w:rStyle w:val="FootnoteReference"/>
        </w:rPr>
        <w:footnoteReference w:id="29"/>
      </w:r>
      <w:r>
        <w:t xml:space="preserve"> Het gebrek aan toegang tot dergelijke diensten draagt ertoe bij dat adolescente meisjes de groep zijn die het meeste risico loopt om te overlijden of ernstig of levenslang letsel op te lopen tijdens zwangerschap en bevalling. Alle adolescenten moeten toegang hebben tot gratis, vertrouwelijke, op adolescenten afgestemde en niet-discriminerende seksuele en reproductieve gezondheidsdiensten, informatie en educatie, zowel online als persoonlijk beschikbaar, </w:t>
      </w:r>
      <w:r>
        <w:lastRenderedPageBreak/>
        <w:t xml:space="preserve">inclusief gezinsplanning, anticonceptie, inclusief noodanticonceptie, preventie, zorg en behandeling van seksueel overgedragen infecties, begeleiding, preconceptiezorg, gezondheidsdiensten voor moeders en menstruatiehygiëne. </w:t>
      </w:r>
    </w:p>
    <w:p w14:paraId="410FE02F" w14:textId="77777777" w:rsidR="00646AD7" w:rsidRPr="000D51EF" w:rsidRDefault="00646AD7" w:rsidP="00EF5C0B">
      <w:pPr>
        <w:pStyle w:val="SingleTxtG"/>
      </w:pPr>
      <w:r>
        <w:t>60.</w:t>
      </w:r>
      <w:r>
        <w:tab/>
        <w:t xml:space="preserve">Er mogen geen belemmeringen zijn voor goederen, informatie en advies over seksuele en reproductieve gezondheid en rechten, zoals vereisten voor toestemming of vergunning van derden. Bovendien moeten bijzondere inspanningen worden geleverd om barrières van stigma en angst te overwinnen die bijvoorbeeld worden ervaren door adolescente meisjes, meisjes met een handicap en lesbische, homoseksuele, biseksuele, transgender en interseksuele adolescenten, om toegang te krijgen tot dergelijke diensten. Het Comité dringt er bij Staten die partij zijn op aan abortus niet langer strafbaar te laten zijn om ervoor te zorgen dat meisjes toegang hebben tot een veilige abortusbehandeling en nazorg bij abortus, de wetgeving te herzien met de bedoeling het belang van zwangere adolescenten te waarborgen en ervoor te zorgen dat er altijd naar hun mening geluisterd wordt en dat deze gerespecteerd wordt bij abortusgerelateerde beslissingen. </w:t>
      </w:r>
    </w:p>
    <w:p w14:paraId="19184FDB" w14:textId="77777777" w:rsidR="00646AD7" w:rsidRPr="000D51EF" w:rsidRDefault="00646AD7" w:rsidP="00EF5C0B">
      <w:pPr>
        <w:pStyle w:val="SingleTxtG"/>
      </w:pPr>
      <w:r>
        <w:t>61.</w:t>
      </w:r>
      <w:r>
        <w:tab/>
        <w:t>Voor de leeftijd geschikte, omvattende en inclusieve voorlichting over seksuele en reproductieve gezondheid, gebaseerd op wetenschappelijk bewijs en mensenrechtennormen en ontwikkeld samen met adolescenten, zou deel moeten uitmaken van het verplichte schoolcurriculum  en moet ook adolescenten bereiken die niet op school zitten. Er moet aandacht worden besteed aan gendergelijkheid, seksuele diversiteit, seksuele en reproductieve gezondheidsrechten, verantwoordelijk ouderschap en seksueel gedrag en geweldpreventie, evenals aan het voorkomen van vroege zwangerschap en seksueel overdraagbare aandoeningen. Informatie moet beschikbaar zijn in alternatieve formats om de toegankelijkheid voor alle adolescenten te waarborgen, vooral adolescenten met een beperking.</w:t>
      </w:r>
    </w:p>
    <w:p w14:paraId="54BC43CC" w14:textId="77777777" w:rsidR="00646AD7" w:rsidRPr="000D51EF" w:rsidRDefault="00646AD7" w:rsidP="00922F0A">
      <w:pPr>
        <w:pStyle w:val="H23G"/>
      </w:pPr>
      <w:r>
        <w:tab/>
      </w:r>
      <w:r>
        <w:tab/>
        <w:t>Hiv/aids</w:t>
      </w:r>
    </w:p>
    <w:p w14:paraId="5581CEA3" w14:textId="77777777" w:rsidR="00646AD7" w:rsidRPr="000D51EF" w:rsidRDefault="00646AD7" w:rsidP="00EF5C0B">
      <w:pPr>
        <w:pStyle w:val="SingleTxtG"/>
      </w:pPr>
      <w:r>
        <w:t>62.</w:t>
      </w:r>
      <w:r>
        <w:tab/>
        <w:t>Adolescenten zijn de enige leeftijdsgroep waarin het sterftecijfer door aids stijgt.</w:t>
      </w:r>
      <w:r w:rsidRPr="00D8466A">
        <w:rPr>
          <w:rStyle w:val="FootnoteReference"/>
        </w:rPr>
        <w:footnoteReference w:id="30"/>
      </w:r>
      <w:r>
        <w:t xml:space="preserve"> Adolescenten kunnen geconfronteerd worden met uitdagingen om toegang te krijgen tot antiretrovirale behandeling en om onder behandeling te blijven; de noodzaak om de toestemming van voogden te verkrijgen om toegang te krijgen tot hiv-gerelateerde diensten, openbaarmaking en stigma zijn enkele barrières. Adolescente meisjes worden in onevenredige mate getroffen en staan voor tweederde van de nieuwe infecties. Lesbische, homoseksuele, biseksuele en transgender adolescenten, adolescenten die seks hebben in ruil voor geld, goederen of gunsten en adolescenten die drugs injecteren lopen ook een hoger risico op een hiv-infectie. </w:t>
      </w:r>
    </w:p>
    <w:p w14:paraId="6FE121C6" w14:textId="77777777" w:rsidR="00646AD7" w:rsidRPr="000D51EF" w:rsidRDefault="00646AD7" w:rsidP="00EF5C0B">
      <w:pPr>
        <w:pStyle w:val="SingleTxtG"/>
      </w:pPr>
      <w:r>
        <w:t>63.</w:t>
      </w:r>
      <w:r>
        <w:tab/>
        <w:t xml:space="preserve">Het Comité stimuleert Staten die partij zijn om de uiteenlopende situaties van adolescenten te erkennen en ervoor te zorgen dat zij toegang hebben tot vertrouwelijke hiv-tests en adviesdiensten en tot op bewijs gebaseerde hiv-preventie- en behandelingsprogramma's die worden aangeboden door opgeleid personeel dat de rechten van adolescenten op privacy en non-discriminatie volledig respecteert. Gezondheidsdiensten moeten hiv-gerelateerde informatie, tests en diagnostiek omvatten; informatie over anticonceptie en het gebruik van condooms; zorg en behandeling, inclusief antiretrovirale en andere geneesmiddelen en gerelateerde technologieën voor de zorg en behandeling van hiv/aids; advies over geschikte voeding; spirituele en psychosociale ondersteuning; en gezins-, gemeenschaps- en thuiszorg. Overwogen moet worden om de hiv-specifieke wetgeving te herzien die de onbedoelde overdracht van hiv en de niet-openbaarmaking van iemands hiv-status strafbaar stelt. </w:t>
      </w:r>
    </w:p>
    <w:p w14:paraId="2AD98B9D" w14:textId="77777777" w:rsidR="00646AD7" w:rsidRPr="000D51EF" w:rsidRDefault="00646AD7" w:rsidP="00922F0A">
      <w:pPr>
        <w:pStyle w:val="H23G"/>
      </w:pPr>
      <w:r>
        <w:lastRenderedPageBreak/>
        <w:tab/>
      </w:r>
      <w:r>
        <w:tab/>
        <w:t>Drugsgebruik onder adolescenten</w:t>
      </w:r>
    </w:p>
    <w:p w14:paraId="76CDC20D" w14:textId="77777777" w:rsidR="00646AD7" w:rsidRPr="000D51EF" w:rsidRDefault="00646AD7" w:rsidP="00EF5C0B">
      <w:pPr>
        <w:pStyle w:val="SingleTxtG"/>
      </w:pPr>
      <w:r>
        <w:t>64.</w:t>
      </w:r>
      <w:r>
        <w:tab/>
        <w:t>Adolescenten worden vaker geïnitieerd in drugsgebruik en lopen een hoger risico op drugsgerelateerde schade dan volwassenen, en drugsgebruik dat in de adolescentie wordt geïnitieerd, leidt vaker tot afhankelijkheid. Het is vastgesteld dat degenen met het grootste risico op drugsgerelateerde schade adolescenten zijn die op straat leven, degenen die van school zijn uitgesloten, mensen met een geschiedenis van trauma, gebroken gezinnen of misbruik, en degenen die in gezinnen leven die te maken hebben met drugsverslaving. De Staten die partij zijn, zijn verplicht jongeren te beschermen tegen het illegale gebruik van verdovende middelen en psychotrope stoffen. De Staten die partij zijn dienen het recht op gezondheid van adolescenten te waarborgen met betrekking tot het gebruik van dergelijke stoffen, evenals tabak, alcohol en oplosmiddelen, en dienen diensten voor preventie, beperking van schade en behandeling van verslaving op te zetten, zonder discriminatie en met voldoende budgettaire toewijzing. Alternatieven voor bestraffend of repressief beleid inzake drugsbestrijding met betrekking tot adolescenten zijn welkom.</w:t>
      </w:r>
      <w:r w:rsidRPr="00D8466A">
        <w:rPr>
          <w:rStyle w:val="FootnoteReference"/>
        </w:rPr>
        <w:footnoteReference w:id="31"/>
      </w:r>
      <w:r>
        <w:t xml:space="preserve"> Adolescenten moeten ook worden voorzien van nauwkeurige en objectieve informatie op basis van wetenschappelijk bewijs, gericht op het voorkomen en minimaliseren van schade door drugsgebruik.</w:t>
      </w:r>
    </w:p>
    <w:p w14:paraId="4E9A5985" w14:textId="77777777" w:rsidR="00646AD7" w:rsidRPr="000D51EF" w:rsidRDefault="00646AD7" w:rsidP="00922F0A">
      <w:pPr>
        <w:pStyle w:val="H23G"/>
      </w:pPr>
      <w:r>
        <w:tab/>
      </w:r>
      <w:r>
        <w:tab/>
        <w:t>Letsel en een veilige omgeving</w:t>
      </w:r>
    </w:p>
    <w:p w14:paraId="12691345" w14:textId="77777777" w:rsidR="00646AD7" w:rsidRPr="000D51EF" w:rsidRDefault="00646AD7" w:rsidP="00EF5C0B">
      <w:pPr>
        <w:pStyle w:val="SingleTxtG"/>
      </w:pPr>
      <w:r>
        <w:t>65.</w:t>
      </w:r>
      <w:r>
        <w:tab/>
        <w:t>Onbedoeld letsel en letsel door geweld behoren tot de voornaamste doodsoorzaken en oorzaken van beperkingen onder adolescenten. Het meeste onbedoelde letsel is het gevolg van verkeersongevallen, verdrinking, brandwonden, vallen en vergiftiging. Om risico’s te verminderen, moeten Staten die partij zijn multisectorale strategieën ontwikkelen, waaronder wetgeving die het gebruik van beschermende voorzieningen vereist, beleid ten aanzien van rijden onder invloed en vergunningen, programma's over voorlichting, ontwikkeling van vaardigheden en gedragsverandering, aanpassingen aan de omgeving en zorgverlening en revalidatie voor degenen die letsel oplopen.</w:t>
      </w:r>
    </w:p>
    <w:p w14:paraId="6414EA46" w14:textId="77777777" w:rsidR="00646AD7" w:rsidRPr="000D51EF" w:rsidRDefault="00646AD7" w:rsidP="00922F0A">
      <w:pPr>
        <w:pStyle w:val="H23G"/>
      </w:pPr>
      <w:r>
        <w:tab/>
      </w:r>
      <w:r>
        <w:tab/>
        <w:t>Adequate levensstandaard</w:t>
      </w:r>
    </w:p>
    <w:p w14:paraId="116C5FB7" w14:textId="77777777" w:rsidR="00646AD7" w:rsidRPr="000D51EF" w:rsidRDefault="00646AD7" w:rsidP="00EF5C0B">
      <w:pPr>
        <w:pStyle w:val="SingleTxtG"/>
      </w:pPr>
      <w:r>
        <w:t>66.</w:t>
      </w:r>
      <w:r>
        <w:tab/>
        <w:t xml:space="preserve">De invloed van armoede heeft ingrijpende gevolgen tijdens de adolescentie, wat soms leidt tot extreme stress en onveiligheid en tot sociale en politieke uitsluiting. Strategieën die worden opgelegd aan of worden aangenomen door adolescenten om economische tegenspoed aan te pakken, kunnen zijn: voortijdig schoolverlaten, betrokken zijn bij kind- of gedwongen huwelijken, betrokken raken bij seksuele uitbuiting, mensenhandel, gevaarlijk of uitbuitend werk of werk dat niet samengaat met het volgen van onderwijs, lid worden van een bende, aangeworven worden in milities en migreren. </w:t>
      </w:r>
    </w:p>
    <w:p w14:paraId="05A0B29F" w14:textId="77777777" w:rsidR="00646AD7" w:rsidRPr="000D51EF" w:rsidRDefault="00646AD7" w:rsidP="00EF5C0B">
      <w:pPr>
        <w:pStyle w:val="SingleTxtG"/>
      </w:pPr>
      <w:r>
        <w:t>67.</w:t>
      </w:r>
      <w:r>
        <w:tab/>
        <w:t xml:space="preserve">De Staten die partij zijn wordt gewezen op het recht van elk kind op een passende levensstandaard voor fysieke, mentale, spirituele, morele en sociale ontwikkeling, en zij worden gestimuleerd sociale beschermingsniveaus in te bouwen die adolescenten en hun gezinnen een basisinkomen bieden, bescherming tegen economische schokken en langdurige economische crises en toegang tot sociale diensten. </w:t>
      </w:r>
    </w:p>
    <w:p w14:paraId="00F127A7" w14:textId="77777777" w:rsidR="00646AD7" w:rsidRPr="000D51EF" w:rsidRDefault="00646AD7" w:rsidP="00922F0A">
      <w:pPr>
        <w:pStyle w:val="HChG"/>
      </w:pPr>
      <w:r>
        <w:tab/>
      </w:r>
      <w:bookmarkStart w:id="20" w:name="_Toc468797247"/>
      <w:r>
        <w:t>XII.</w:t>
      </w:r>
      <w:r>
        <w:tab/>
        <w:t>Onderwijs, vrije tijd en culturele activiteiten</w:t>
      </w:r>
      <w:bookmarkEnd w:id="20"/>
    </w:p>
    <w:p w14:paraId="3E8AD363" w14:textId="77777777" w:rsidR="00646AD7" w:rsidRPr="000D51EF" w:rsidRDefault="00646AD7" w:rsidP="00922F0A">
      <w:pPr>
        <w:pStyle w:val="H23G"/>
      </w:pPr>
      <w:r>
        <w:tab/>
      </w:r>
      <w:r>
        <w:tab/>
        <w:t>Onderwijs</w:t>
      </w:r>
    </w:p>
    <w:p w14:paraId="6EDC4CC3" w14:textId="77777777" w:rsidR="00646AD7" w:rsidRPr="000D51EF" w:rsidRDefault="00646AD7" w:rsidP="00EF5C0B">
      <w:pPr>
        <w:pStyle w:val="SingleTxtG"/>
      </w:pPr>
      <w:r>
        <w:t>68.</w:t>
      </w:r>
      <w:r>
        <w:tab/>
        <w:t xml:space="preserve">Het garanderen van het recht op universeel, kwalitatief goed en inclusief onderwijs en opleiding is de belangrijkste beleidsinvestering die Staten die partij zijn kunnen doen om de onmiddellijke en langetermijnontwikkeling van adolescenten te waarborgen, en een groeiend </w:t>
      </w:r>
      <w:r>
        <w:lastRenderedPageBreak/>
        <w:t>aantal gegevens getuigt van de positieve invloed van met name voortgezet onderwijs.</w:t>
      </w:r>
      <w:r w:rsidRPr="00D8466A">
        <w:rPr>
          <w:rStyle w:val="FootnoteReference"/>
        </w:rPr>
        <w:footnoteReference w:id="32"/>
      </w:r>
      <w:r>
        <w:t xml:space="preserve"> De Staten die partij zijn worden aangemoedigd zo snel mogelijk algemeen beschikbaar voortgezet onderwijs voor iedereen in te voeren en hoger onderwijs voor iedereen toegankelijk te maken op basis van capaciteit met alle passende middelen. </w:t>
      </w:r>
    </w:p>
    <w:p w14:paraId="1479CB4E" w14:textId="77777777" w:rsidR="00646AD7" w:rsidRPr="000D51EF" w:rsidRDefault="00646AD7" w:rsidP="00EF5C0B">
      <w:pPr>
        <w:pStyle w:val="SingleTxtG"/>
      </w:pPr>
      <w:r>
        <w:t>69.</w:t>
      </w:r>
      <w:r>
        <w:tab/>
        <w:t xml:space="preserve">Het Comité maakt zich grote zorgen over de uitdagingen waarmee veel Staten die partij zijn worden geconfronteerd om gelijkheid bij de inschrijving van meisjes en jongens te bereiken en meisjes op school te houden na het basisonderwijs. Investeringen in het voortgezet onderwijs voor meisjes, een verplichting om te voldoen aan de artikelen 2, 6 en 28 van het Verdrag, dienen ook om meisjes te beschermen tegen kind- en gedwongen huwelijken, seksuele uitbuiting en vroege zwangerschap, en dragen aanzienlijk bij aan het toekomstige economische potentieel van meisjes en hun kinderen. Er moet ook worden geïnvesteerd in strategieën die positieve genderrelaties en sociale normen bevorderen; seksueel en gendergerelateerd geweld aanpakken, ook binnen scholen; en positieve rolmodellen, gezinsondersteuning en de economische zelfverwezenlijking van vrouwen bevorderen om de wettelijke, politieke, culturele, economische en sociale barrières te overwinnen die barrières voor meisjes vormen. Bovendien moeten Staten die partij zijn erkennen dat een toenemend aantal jongens zich niet op een school inschrijft en niet op school blijft, de oorzaken daarvan vaststellen en passende maatregelen nemen om de blijvende deelname van jongens aan het onderwijs te ondersteunen. </w:t>
      </w:r>
    </w:p>
    <w:p w14:paraId="1F79298F" w14:textId="77777777" w:rsidR="00646AD7" w:rsidRPr="000D51EF" w:rsidRDefault="00646AD7" w:rsidP="00EF5C0B">
      <w:pPr>
        <w:pStyle w:val="SingleTxtG"/>
      </w:pPr>
      <w:r>
        <w:t>70.</w:t>
      </w:r>
      <w:r>
        <w:tab/>
        <w:t xml:space="preserve">Het Comité neemt met bezorgdheid kennis van het aantal adolescenten in gemarginaliseerde situaties die niet de kans krijgen om de overstap te maken naar het voortgezet onderwijs, zoals adolescenten die in armoede leven; lesbische, homoseksuele, biseksuele, transgender en interseksuele adolescenten; adolescenten die tot minderheden behoren; adolescenten met psychosociale, sensorische of lichamelijke handicaps; adolescenten die migreren; adolescenten in situaties van gewapend conflict of natuurrampen; en adolescenten die op straat leven of werken. Proactieve maatregelen zijn nodig om een einde te maken aan discriminatie van gemarginaliseerde groepen bij het verkrijgen van toegang tot onderwijs, onder meer door het opzetten van programma's voor geldoverdracht, het respecteren van minderheids- en inheemse culturen en kinderen uit alle religieuze gemeenschappen, het bevorderen van inclusief onderwijs voor kinderen met een beperking, het bestrijden van pesten en discriminerende opvattingen binnen het onderwijssysteem en onderwijs in vluchtelingenkampen. </w:t>
      </w:r>
    </w:p>
    <w:p w14:paraId="063C0B99" w14:textId="77777777" w:rsidR="00646AD7" w:rsidRPr="000D51EF" w:rsidRDefault="00646AD7" w:rsidP="00EF5C0B">
      <w:pPr>
        <w:pStyle w:val="SingleTxtG"/>
      </w:pPr>
      <w:r>
        <w:t>71.</w:t>
      </w:r>
      <w:r>
        <w:tab/>
        <w:t xml:space="preserve">Er moeten inspanningen worden geleverd om adolescenten te raadplegen over de belemmeringen die hun voortdurende deelname aan school verhinderen, gezien de hoge aantallen voortijdige schoolverlaters die nog analfabeet zijn of geen diploma hebben. Het Comité heeft de volgende factoren die hieraan bijdragen vastgesteld: schoolgeld en bijbehorende kosten; gezinsarmoede en gebrek aan adequate regelingen voor sociale bescherming, waaronder een adequate ziektekostenverzekering; gebrek aan adequate en veilige sanitaire voorzieningen voor meisjes; uitsluiting van zwangere schoolmeisjes en adolescente moeders; aanhoudend gebruik van wrede, onmenselijke en onterende straffen; gebrek aan effectieve maatregelen om seksuele intimidatie op school uit te bannen; seksuele uitbuiting van meisjes; omgevingen die niet bevorderlijk zijn voor de inclusie en veiligheid van meisjes; ongepaste pedagogiek; irrelevante of verouderde curricula; het niet betrekken van studenten bij hun eigen leerproces; en pesten. Bovendien missen scholen vaak de flexibiliteit die adolescenten nodig hebben om werk- en/of mantelzorgverantwoordelijkheden te combineren met hun opleiding, zonder welke zij niet in staat zijn om de bijbehorende kosten van scholing te blijven dragen. In overeenstemming met artikel 28, lid 1, onder e), van het Verdrag en duurzame-ontwikkelingsdoelstelling 4 moeten Staten die partij zijn allesomvattende en proactieve maatregelen nemen om al deze factoren </w:t>
      </w:r>
      <w:r>
        <w:lastRenderedPageBreak/>
        <w:t>aan te pakken en inschrijving en aanwezigheid te verbeteren, voortijdig schoolverlaten te verminderen en schoolverlaters de mogelijkheid te bieden hun opleiding te voltooien.</w:t>
      </w:r>
    </w:p>
    <w:p w14:paraId="4895AC59" w14:textId="77777777" w:rsidR="00646AD7" w:rsidRPr="000D51EF" w:rsidRDefault="00646AD7" w:rsidP="00EF5C0B">
      <w:pPr>
        <w:pStyle w:val="SingleTxtG"/>
      </w:pPr>
      <w:r>
        <w:t>72.</w:t>
      </w:r>
      <w:r>
        <w:tab/>
        <w:t>Het Comité vestigt de aandacht op General Comment nr. 1 (2001) over onderwijsdoelen, waarin wordt gesteld dat onderwijs gericht moet zijn op kinderen, kindvriendelijk moet zijn en kinderen mondig moet maken, en benadrukt het belang van een meer op samenwerking en participatie gebaseerde pedagogiek.</w:t>
      </w:r>
      <w:r w:rsidRPr="00D8466A">
        <w:rPr>
          <w:rStyle w:val="FootnoteReference"/>
        </w:rPr>
        <w:footnoteReference w:id="33"/>
      </w:r>
      <w:r>
        <w:t xml:space="preserve"> Curricula voor voortgezet onderwijs dienen te zijn samengesteld om adolescenten voor actieve participatie toe te rusten, respect voor mensenrechten en fundamentele vrijheden te ontwikkelen, maatschappelijke betrokkenheid te bevorderen en adolescenten voor te bereiden op een verantwoordelijk leven in een vrije samenleving. Om het maximale potentieel van adolescenten te ontwikkelen en hen op school te houden, moet aandacht worden gegeven aan de vormgeving van leeromgevingen, om ervoor te zorgen dat ze profiteren van het vermogen van adolescenten om te leren, van hun motivatie om met leeftijdsgenoten te werken en hun vermogen tot zelfverwezenlijking, en zich te richten op ervaringsleren, ontdekken en het testen van je grenzen. </w:t>
      </w:r>
    </w:p>
    <w:p w14:paraId="31019BEA" w14:textId="77777777" w:rsidR="00646AD7" w:rsidRPr="000D51EF" w:rsidRDefault="00646AD7" w:rsidP="00922F0A">
      <w:pPr>
        <w:pStyle w:val="H23G"/>
      </w:pPr>
      <w:r>
        <w:tab/>
      </w:r>
      <w:r>
        <w:tab/>
        <w:t xml:space="preserve">Overgang van onderwijs naar opleiding en/of fatsoenlijk werk </w:t>
      </w:r>
    </w:p>
    <w:p w14:paraId="25C721B9" w14:textId="77777777" w:rsidR="00646AD7" w:rsidRPr="000D51EF" w:rsidRDefault="00646AD7" w:rsidP="000416EF">
      <w:pPr>
        <w:pStyle w:val="SingleTxtG"/>
      </w:pPr>
      <w:r>
        <w:t>73.</w:t>
      </w:r>
      <w:r>
        <w:tab/>
        <w:t>Aanzienlijke aantallen jongeren volgen geen onderwijs of opleiding en hebben geen werk, wat leidt tot onevenredige niveaus van werkloosheid, te weinig werkervaring en uitbuiting naarmate ze volwassen worden. Het Comité dringt er bij Staten die partij zijn op aan om niet-schoolgaande adolescenten op een voor hun leeftijd passende manier te ondersteunen om de overgang naar fatsoenlijk werk te vergemakkelijken, onder meer door te zorgen voor samenhang tussen onderwijs- en arbeidswetgeving en om beleid te voeren ter bevordering van hun toekomstige werkgelegenheid.</w:t>
      </w:r>
      <w:r w:rsidRPr="00D8466A">
        <w:rPr>
          <w:rStyle w:val="FootnoteReference"/>
        </w:rPr>
        <w:footnoteReference w:id="34"/>
      </w:r>
      <w:r>
        <w:t xml:space="preserve"> In overeenstemming met artikel 28, lid 1, onder d), dienen Staten die partij zijn educatieve en beroepsvoorlichting en -begeleiding beschikbaar en toegankelijk te maken voor adolescenten. </w:t>
      </w:r>
    </w:p>
    <w:p w14:paraId="63657525" w14:textId="77777777" w:rsidR="00646AD7" w:rsidRPr="000D51EF" w:rsidRDefault="00646AD7" w:rsidP="00EF5C0B">
      <w:pPr>
        <w:pStyle w:val="SingleTxtG"/>
      </w:pPr>
      <w:r>
        <w:t>74.</w:t>
      </w:r>
      <w:r>
        <w:tab/>
        <w:t>Zowel formeel als informeel onderwijs en opleidingen moeten worden ontworpen voor de vaardigheden van de eenentwintigste eeuw</w:t>
      </w:r>
      <w:r w:rsidRPr="00D8466A">
        <w:rPr>
          <w:rStyle w:val="FootnoteReference"/>
        </w:rPr>
        <w:footnoteReference w:id="35"/>
      </w:r>
      <w:r>
        <w:t xml:space="preserve"> die nodig zijn op de moderne arbeidsmarkt, inclusief het integreren van zachte en overdraagbare vaardigheden in de leerplannen; uitbreiding van mogelijkheden voor ervaringsgericht of praktisch leren; ontwikkeling van beroepsopleidingen op basis van de vraag van de arbeidsmarkt; het opzetten van publiek-private partnerschappen voor ondernemerschap, stages en leerlingplaatsen; en het geven van advies over universitaire en beroepsopleidingsmogelijkheden. De Staten die partij zijn dienen ook informatie te verspreiden over arbeidsrecht, inclusief het recht met betrekking tot het lidmaatschap van vakbonden en beroepsverenigingen.</w:t>
      </w:r>
    </w:p>
    <w:p w14:paraId="464BFC76" w14:textId="77777777" w:rsidR="00646AD7" w:rsidRPr="000D51EF" w:rsidRDefault="00646AD7" w:rsidP="00922F0A">
      <w:pPr>
        <w:pStyle w:val="H23G"/>
      </w:pPr>
      <w:r>
        <w:tab/>
      </w:r>
      <w:r>
        <w:tab/>
        <w:t>Vrije tijd, recreatie en kunst</w:t>
      </w:r>
    </w:p>
    <w:p w14:paraId="6C21038C" w14:textId="77777777" w:rsidR="00646AD7" w:rsidRPr="000D51EF" w:rsidRDefault="00646AD7" w:rsidP="00EF5C0B">
      <w:pPr>
        <w:pStyle w:val="SingleTxtG"/>
      </w:pPr>
      <w:r>
        <w:t>75.</w:t>
      </w:r>
      <w:r>
        <w:tab/>
        <w:t xml:space="preserve">Het recht van adolescenten op rust en vrije tijd en om deel te nemen aan en vrij te participeren in spel, recreatieve en artistieke activiteiten, zowel online als offline, is van fundamenteel belang voor hun onderzoek naar identiteit, waardoor adolescenten hun cultuur kunnen verkennen, nieuwe artistieke vormen kunnen vormen, relaties kunnen aangaan en zich als mens kunnen ontwikkelen. Vrije tijd, recreatie en kunst geven adolescenten een </w:t>
      </w:r>
      <w:r>
        <w:lastRenderedPageBreak/>
        <w:t>gevoel van uniekheid dat fundamenteel is voor het recht op menselijke waardigheid, optimale ontwikkeling, vrijheid van meningsuiting, participatie en privacy. Het Comité stelt met spijt vast dat deze rechten in de adolescentie op grote schaal worden verwaarloosd, met name voor meisjes. Angst voor en vijandigheid jegens adolescenten in de openbare ruimte en een gebrek aan adolescentvriendelijke stadsplanning, onderwijs- en vrijetijdsinfrastructuur kunnen de vrijheid om deel te nemen aan recreatieve activiteiten en sport belemmeren. Het Comité vestigt de aandacht van Staten die partij zijn op de rechten die zijn vastgelegd in artikel 31 van het Verdrag en de aanbevelingen in General Comment nr. 17 (2013) over het recht van het kind op rust, ontspanning, spel, recreatieve activiteiten, cultureel leven en kunst.</w:t>
      </w:r>
    </w:p>
    <w:p w14:paraId="4991F30B" w14:textId="77777777" w:rsidR="00646AD7" w:rsidRPr="000D51EF" w:rsidRDefault="00646AD7" w:rsidP="00922F0A">
      <w:pPr>
        <w:pStyle w:val="HChG"/>
      </w:pPr>
      <w:r>
        <w:tab/>
      </w:r>
      <w:bookmarkStart w:id="22" w:name="_Toc468797248"/>
      <w:r>
        <w:t>XIII.</w:t>
      </w:r>
      <w:r>
        <w:tab/>
        <w:t>Speciale beschermingsmaatregelen</w:t>
      </w:r>
      <w:bookmarkEnd w:id="22"/>
    </w:p>
    <w:p w14:paraId="7F25B719" w14:textId="77777777" w:rsidR="00646AD7" w:rsidRPr="000D51EF" w:rsidRDefault="00646AD7" w:rsidP="00922F0A">
      <w:pPr>
        <w:pStyle w:val="H23G"/>
      </w:pPr>
      <w:r>
        <w:tab/>
      </w:r>
      <w:r>
        <w:tab/>
        <w:t>Migratie</w:t>
      </w:r>
    </w:p>
    <w:p w14:paraId="64EE2C92" w14:textId="77777777" w:rsidR="00646AD7" w:rsidRPr="000D51EF" w:rsidRDefault="00646AD7" w:rsidP="00EF5C0B">
      <w:pPr>
        <w:pStyle w:val="SingleTxtG"/>
      </w:pPr>
      <w:r>
        <w:t>76.</w:t>
      </w:r>
      <w:r>
        <w:tab/>
        <w:t>Een toenemend aantal adolescente meisjes en jongens migreren, binnen of buiten hun land van herkomst, op zoek naar een betere levensstandaard, onderwijs of gezinshereniging. Voor velen biedt migratie aanzienlijke sociale en economische kansen. Het brengt echter ook risico's met zich mee, waaronder lichamelijk letsel, psychologisch trauma, marginalisering, discriminatie, vreemdelingenhaat en seksuele en economische uitbuiting en, bij het overschrijden van grenzen, invallen door de immigratiedienst en detentie.</w:t>
      </w:r>
      <w:r w:rsidRPr="00D8466A">
        <w:rPr>
          <w:rStyle w:val="FootnoteReference"/>
        </w:rPr>
        <w:footnoteReference w:id="36"/>
      </w:r>
      <w:r>
        <w:t xml:space="preserve"> Veel adolescente migranten wordt de toegang tot onderwijs, huisvesting, gezondheidszorg, recreatie, participatie, bescherming en sociale zekerheid ontzegd. Zelfs wanneer rechten op diensten worden beschermd door wetten en beleid, kunnen adolescenten geconfronteerd worden met administratieve en andere obstakels bij het verkrijgen van toegang tot dergelijke diensten, waaronder: eisen voor identiteitsdocumenten of burgerservicenummers; schadelijke en onnauwkeurige leeftijdsbepalingsprocedures; financiële en taalkundige barrières; en het risico dat het verkrijgen van toegang tot diensten leidt tot detentie of uitzetting.</w:t>
      </w:r>
      <w:r w:rsidRPr="00D8466A">
        <w:rPr>
          <w:rStyle w:val="FootnoteReference"/>
        </w:rPr>
        <w:footnoteReference w:id="37"/>
      </w:r>
      <w:r>
        <w:t xml:space="preserve"> Het Comité verwijst Staten die partij zijn naar zijn uitgebreide aanbevelingen die zijn opgesteld met betrekking tot migrantenkinderen.</w:t>
      </w:r>
      <w:r w:rsidRPr="00D8466A">
        <w:rPr>
          <w:rStyle w:val="FootnoteReference"/>
        </w:rPr>
        <w:footnoteReference w:id="38"/>
      </w:r>
    </w:p>
    <w:p w14:paraId="2030CBDC" w14:textId="77777777" w:rsidR="00646AD7" w:rsidRPr="000D51EF" w:rsidRDefault="00646AD7" w:rsidP="00EF5C0B">
      <w:pPr>
        <w:pStyle w:val="SingleTxtG"/>
      </w:pPr>
      <w:r>
        <w:t>77.</w:t>
      </w:r>
      <w:r>
        <w:tab/>
        <w:t xml:space="preserve">Het Comité benadrukt dat artikel 22 van het Verdrag erkent dat vluchtelingen en asielzoekende kinderen speciale maatregelen behoeven om van hun rechten gebruik te kunnen maken en te profiteren van de aanvullende waarborgen die hen worden geboden via het internationale stelsel voor bescherming van vluchtelingen. Die adolescenten mogen niet worden onderworpen aan versnelde verwijderingsprocedures, maar moeten in aanmerking komen voor toegang tot het grondgebied en mogen niet worden teruggestuurd of de toegang worden geweigerd voordat is vastgesteld wat in hun belang is en of internationale bescherming nodig is. In overeenstemming met de verplichting op grond van artikel 2 om de rechten van elk kind onder hun rechtsbevoegdheid te eerbiedigen en te waarborgen, ongeacht de status, dienen Staten die partij zijn leeftijd- en gendergevoelige wetgeving in te voeren die zowel niet-begeleide als alleenstaande vluchtelingen en asielzoekende adolescenten, evenals migranten, onderbouwd volgens het belangenbeginsel, door prioriteit te geven aan de beoordeling van beschermingsbehoeften boven de bepaling van de immigratiestatus, het verbieden van immigratiegerelateerde detentie en verwijzend naar de aanbevelingen in General Comment nr. 6 (2005) over de behandeling van niet-begeleide en alleenstaande kinderen buiten hun land van herkomst, waarbij rekening gehouden wordt met de specifieke </w:t>
      </w:r>
      <w:r>
        <w:lastRenderedPageBreak/>
        <w:t>kwetsbaarheid van die adolescenten.</w:t>
      </w:r>
      <w:r w:rsidRPr="00D8466A">
        <w:rPr>
          <w:rStyle w:val="FootnoteReference"/>
        </w:rPr>
        <w:footnoteReference w:id="39"/>
      </w:r>
      <w:r>
        <w:t xml:space="preserve"> De Staten die partij zijn dienen ook maatregelen te nemen om de factoren aan te pakken die adolescenten ertoe aanzetten om te migreren en de kwetsbaarheden en schendingen van rechten waarmee adolescenten worden achtergelaten wanneer ouders migreren, waaronder voortijdig schoolverlaten, kinderarbeid, kwetsbaarheid voor geweld en criminele activiteiten en zware huishoudelijke verantwoordelijkheden. </w:t>
      </w:r>
    </w:p>
    <w:p w14:paraId="0B098334" w14:textId="77777777" w:rsidR="00646AD7" w:rsidRPr="000D51EF" w:rsidRDefault="00646AD7" w:rsidP="00922F0A">
      <w:pPr>
        <w:pStyle w:val="H23G"/>
      </w:pPr>
      <w:r>
        <w:tab/>
      </w:r>
      <w:r>
        <w:tab/>
        <w:t>Mensenhandel</w:t>
      </w:r>
    </w:p>
    <w:p w14:paraId="06FB11EC" w14:textId="77777777" w:rsidR="00646AD7" w:rsidRPr="000D51EF" w:rsidRDefault="00646AD7" w:rsidP="00EF5C0B">
      <w:pPr>
        <w:pStyle w:val="SingleTxtG"/>
      </w:pPr>
      <w:r>
        <w:t>78.</w:t>
      </w:r>
      <w:r>
        <w:tab/>
        <w:t>Veel adolescenten lopen het risico om economische redenen of voor seksuele uitbuiting verhandeld te worden. De Staten die partij zijn worden aangespoord om een omvattend en systematisch mechanisme in te stellen voor het verzamelen van gegevens over de verkoop van, handel in en ontvoering van kinderen, om ervoor te zorgen dat de gegevens uitgesplitst worden en bijzondere aandacht te besteden aan kinderen die in de meest kwetsbare situaties leven. Staten die partij zijn dienen ook te investeren in rehabilitatie- en re-integratiediensten en psychosociale ondersteuning voor minderjarige slachtoffers. Er moet aandacht worden besteed aan de op geslacht gebaseerde dimensies van kwetsbaarheid en uitbuiting. Bewustmakingsactiviteiten, ook via sociale media, moeten worden uitgevoerd om ouders en kinderen bewust te maken van de gevaren van zowel binnenlandse als internationale handel. De Staten die partij zijn worden aangespoord om het facultatieve protocol bij het Verdrag inzake de rechten van het kind over de verkoop van kinderen, kinderprostitutie en kinderpornografie te bekrachtigen en de wetgeving dienovereenkomstig te harmoniseren.</w:t>
      </w:r>
    </w:p>
    <w:p w14:paraId="68EB4EC4" w14:textId="77777777" w:rsidR="00646AD7" w:rsidRPr="000D51EF" w:rsidRDefault="00646AD7" w:rsidP="00922F0A">
      <w:pPr>
        <w:pStyle w:val="H23G"/>
      </w:pPr>
      <w:r>
        <w:tab/>
      </w:r>
      <w:r>
        <w:tab/>
        <w:t>Conflict en crisis</w:t>
      </w:r>
    </w:p>
    <w:p w14:paraId="2639B2B6" w14:textId="77777777" w:rsidR="00646AD7" w:rsidRPr="000D51EF" w:rsidRDefault="00646AD7" w:rsidP="00EF5C0B">
      <w:pPr>
        <w:pStyle w:val="SingleTxtG"/>
      </w:pPr>
      <w:r>
        <w:t>79.</w:t>
      </w:r>
      <w:r>
        <w:tab/>
        <w:t xml:space="preserve">Situaties van gewapende conflicten en humanitaire rampen leiden tot het uiteenvallen van sociale normen en structuren voor gezins- en gemeenschapsondersteuning. Ze dwingen veel ontheemde en door crisis getroffen adolescenten om volwassen verantwoordelijkheden te nemen en stellen hen bloot aan risico's van seksueel en gendergerelateerd geweld, kind- en gedwongen huwelijken en mensenhandel. Bovendien worden aan adolescenten in dergelijke situaties vaak onderwijs, vaardigheidstraining, veilige arbeidskansen en toegang tot de juiste diensten en voorlichting voor de seksuele en reproductieve gezondheid ontzegd en krijgen ze te maken met isolatie, discriminatie en stigma, geestelijke gezondheidsproblemen en risicogedrag. </w:t>
      </w:r>
    </w:p>
    <w:p w14:paraId="0E89AD1D" w14:textId="77777777" w:rsidR="00646AD7" w:rsidRPr="000D51EF" w:rsidRDefault="00646AD7" w:rsidP="00EF5C0B">
      <w:pPr>
        <w:pStyle w:val="SingleTxtG"/>
      </w:pPr>
      <w:r>
        <w:t>80.</w:t>
      </w:r>
      <w:r>
        <w:tab/>
        <w:t xml:space="preserve">Het Comité maakt zich zorgen over het feit dat humanitaire programma's niet voldoen aan de specifieke behoeften en rechten van adolescenten. Het Comité dringt er bij Staten die partij zijn op aan ervoor te zorgen dat adolescenten systematische kansen krijgen om een actieve rol te spelen bij de ontwikkeling en het ontwerp van beschermingssystemen en verzoenings- en vredesopbouwprocessen. Expliciete investeringen in opbouw en transitie na een conflict dienen te worden gezien als een kans voor adolescenten om bij te dragen aan de economische en sociale ontwikkeling, het terugkrijgen van veerkracht en een vreedzame overgangsperiode van het land. Bovendien moeten noodplannen gericht zijn op adolescenten, waarbij zowel hun kwetsbaarheid en recht op bescherming worden erkend, als hun potentiële rol in het ondersteunen van gemeenschappen en het beperken van risico's. </w:t>
      </w:r>
    </w:p>
    <w:p w14:paraId="52C2DF77" w14:textId="77777777" w:rsidR="00646AD7" w:rsidRPr="000D51EF" w:rsidRDefault="00922F0A" w:rsidP="00922F0A">
      <w:pPr>
        <w:pStyle w:val="H23G"/>
      </w:pPr>
      <w:r>
        <w:tab/>
      </w:r>
      <w:r>
        <w:tab/>
        <w:t>Werving voor strijdkrachten en -groepen</w:t>
      </w:r>
    </w:p>
    <w:p w14:paraId="1903BF56" w14:textId="77777777" w:rsidR="00646AD7" w:rsidRPr="000D51EF" w:rsidRDefault="00646AD7" w:rsidP="00EF5C0B">
      <w:pPr>
        <w:pStyle w:val="SingleTxtG"/>
      </w:pPr>
      <w:r>
        <w:t>81.</w:t>
      </w:r>
      <w:r>
        <w:tab/>
        <w:t xml:space="preserve">Het Comité spreekt zijn diepe bezorgdheid uit over het feit dat adolescente jongens en meisjes worden aangeworven, ook via de sociale media, door strijdkrachten, gewapende groeperingen en milities van Staten die partij zijn, en dringt er bij alle Staten op aan het facultatieve protocol bij het Verdrag inzake de rechten van het kind over de betrokkenheid </w:t>
      </w:r>
      <w:r>
        <w:lastRenderedPageBreak/>
        <w:t>van kinderen bij gewapende conflicten te bekrachtigen. Het Comité maakt zich ook zorgen over de kwetsbaarheid van adolescenten om verleid te worden door terroristische propaganda, extremistische opvattingen en betrokkenheid bij terroristische activiteiten. Onderzoek met adolescenten dient te worden ondernomen om de factoren te onderzoeken die hun betrokkenheid bij dergelijke activiteiten stimuleren en Staten die partij zijn bij het Verdrag dienen passende maatregelen te nemen naar aanleiding van de bevindingen, met bijzondere aandacht voor maatregelen ter bevordering van sociale integratie.</w:t>
      </w:r>
    </w:p>
    <w:p w14:paraId="3FCFF752" w14:textId="77777777" w:rsidR="00646AD7" w:rsidRPr="000D51EF" w:rsidRDefault="00646AD7" w:rsidP="00EF5C0B">
      <w:pPr>
        <w:pStyle w:val="SingleTxtG"/>
      </w:pPr>
      <w:r>
        <w:t>82.</w:t>
      </w:r>
      <w:r>
        <w:tab/>
        <w:t>De Staten die partij zijn dienen te zorgen voor het herstel en de gendergevoelige re-integratie van adolescenten die worden gerekruteerd door strijdkrachten en -groepen, inclusief die in migratiesituaties, en een verbod op de werving of het gebruik van adolescenten in alle vijandelijkheden evenals vredesonderhandelingen of onderhandelingen over een staakt-het-vuren en overeenkomsten met gewapende groepen.</w:t>
      </w:r>
      <w:r w:rsidRPr="00D8466A">
        <w:rPr>
          <w:rStyle w:val="FootnoteReference"/>
        </w:rPr>
        <w:footnoteReference w:id="40"/>
      </w:r>
      <w:r>
        <w:t xml:space="preserve"> De Staten die partij zijn moeten kansen ondersteunen voor de participatie van adolescenten in vredesbewegingen en benaderingen door leeftijdsgenoten van geweldloze conflictoplossing die geworteld is in lokale gemeenschappen, om de duurzaamheid en culturele geschiktheid van interventies te waarborgen. Het Comité dringt er bij Staten die partij zijn op aan om krachtige maatregelen te nemen om ervoor te zorgen dat gevallen van conflictgerelateerd seksueel geweld, seksuele uitbuiting en misbruik en andere mensenrechtenschendingen tegen adolescenten snel en naar behoren worden aangepakt. </w:t>
      </w:r>
    </w:p>
    <w:p w14:paraId="284FDDA8" w14:textId="77777777" w:rsidR="00646AD7" w:rsidRPr="000D51EF" w:rsidRDefault="00646AD7" w:rsidP="00EF5C0B">
      <w:pPr>
        <w:pStyle w:val="SingleTxtG"/>
      </w:pPr>
      <w:r>
        <w:t>83.</w:t>
      </w:r>
      <w:r>
        <w:tab/>
        <w:t xml:space="preserve">Het Comité erkent dat in veel delen van de wereld adolescenten worden geworven in bendes en </w:t>
      </w:r>
      <w:r>
        <w:rPr>
          <w:i/>
        </w:rPr>
        <w:t>pandilla</w:t>
      </w:r>
      <w:r>
        <w:t xml:space="preserve">'s, die vaak sociale steun, een bron van levensonderhoud, bescherming en een gevoel van identiteit bieden bij afwezigheid van mogelijkheden om dergelijke doelen met legitieme activiteiten te bereiken. Het klimaat van angst, onveiligheid, bedreiging en geweld dat een lidmaatschap van een bende omgeeft, bedreigt echter de verwezenlijking van de rechten van adolescenten en is een belangrijke factor die bijdraagt aan de migratie van adolescenten. Het Comité adviseert meer nadruk te leggen op de ontwikkeling van allesomvattend openbaar beleid dat de diepere oorzaken van jeugdgeweld en bendes aanpakt, in plaats van agressieve benaderingen van wetshandhaving. Er moet geïnvesteerd worden in preventieactiviteiten voor risicojongeren, interventies om adolescenten te stimuleren bendes te verlaten, rehabilitatie en re-integratie van bendeleden, herstelrecht en de oprichting van gemeentelijke allianties tegen criminaliteit en geweld, met de nadruk op de school, het gezin en maatregelen voor sociale insluiting. Het Comité dringt er bij Staten die partij zijn op aan om aandacht te schenken aan adolescenten die hun land moeten verlaten om redenen die verband houden met bendegeweld en om hun de vluchtelingenstatus te verlenen. </w:t>
      </w:r>
    </w:p>
    <w:p w14:paraId="1AF739D8" w14:textId="77777777" w:rsidR="00646AD7" w:rsidRPr="000D51EF" w:rsidRDefault="00646AD7" w:rsidP="00922F0A">
      <w:pPr>
        <w:pStyle w:val="H23G"/>
      </w:pPr>
      <w:r>
        <w:tab/>
      </w:r>
      <w:r>
        <w:tab/>
        <w:t>Kinderarbeid</w:t>
      </w:r>
    </w:p>
    <w:p w14:paraId="1972D5B5" w14:textId="77777777" w:rsidR="00646AD7" w:rsidRPr="000D51EF" w:rsidRDefault="00646AD7" w:rsidP="00EF5C0B">
      <w:pPr>
        <w:pStyle w:val="SingleTxtG"/>
      </w:pPr>
      <w:r>
        <w:t>84.</w:t>
      </w:r>
      <w:r>
        <w:tab/>
        <w:t>Het Comité benadrukt dat alle adolescenten het recht hebben om te worden beschermd tegen economische uitbuiting en de ergste vormen van kinderarbeid, en dringt er bij Staten die partij zijn op aan de bepalingen van artikel 32, lid 2, van het Verdrag en het Verdrag betreffende de minimumleeftijd, 1973 van de Internationale Arbeidsorganisatie (nr. 138) en het Verdrag betreffende de ergste vormen van kinderarbeid, 1999 (nr. 182) ten uitvoer te leggen.</w:t>
      </w:r>
    </w:p>
    <w:p w14:paraId="657D4A1B" w14:textId="77777777" w:rsidR="00646AD7" w:rsidRPr="000D51EF" w:rsidRDefault="00646AD7" w:rsidP="00EF5C0B">
      <w:pPr>
        <w:pStyle w:val="SingleTxtG"/>
      </w:pPr>
      <w:r>
        <w:t>85.</w:t>
      </w:r>
      <w:r>
        <w:tab/>
        <w:t xml:space="preserve">De introductie van voor de leeftijd geschikte vormen van werk speelt een belangrijke ontwikkelingsrol in het leven van adolescenten, waardoor ze vaardigheden krijgen en in staat worden gesteld verantwoordelijkheden te leren en, waar nodig, aan het economische welzijn van hun gezin bij te dragen en hun toegang tot onderwijs te ondersteunen. Actie tegen kinderarbeid dient te bestaan uit omvattende maatregelen, waaronder overgang van school naar werk, sociale en economische ontwikkeling, programma's voor armoedebestrijding en universele en vrije toegang tot kwaliteit, inclusief basis- en voortgezet onderwijs. Benadrukt </w:t>
      </w:r>
      <w:r>
        <w:lastRenderedPageBreak/>
        <w:t>dient te worden dat adolescenten, zodra zij de nationale wettelijke minimumleeftijd waarop je mag werken hebben bereikt, die in overeenstemming moet zijn met internationale normen en met verplicht onderwijs, het recht hebben licht werk te verrichten onder passende voorwaarden, met inachtneming van hun recht op onderwijs en op rust, ontspanning, spel, recreatieve activiteiten, cultureel leven en kunst.</w:t>
      </w:r>
    </w:p>
    <w:p w14:paraId="1290E758" w14:textId="77777777" w:rsidR="00646AD7" w:rsidRPr="000D51EF" w:rsidRDefault="00646AD7" w:rsidP="00EF5C0B">
      <w:pPr>
        <w:pStyle w:val="SingleTxtG"/>
      </w:pPr>
      <w:r>
        <w:t>86.</w:t>
      </w:r>
      <w:r>
        <w:tab/>
        <w:t>Het Comité adviseert Staten die partij zijn een overgangsaanpak te hanteren om een evenwicht te vinden tussen de positieve rol van werk in het leven van adolescenten en tegelijkertijd hun recht op verplicht onderwijs te waarborgen, zonder discriminatie. Scholing en de introductie van fatsoenlijk werk moeten worden gecoördineerd, zowel om het leven van adolescenten te vergemakkelijken, afhankelijk van hun leeftijd en de effectieve mechanismen die zijn geïntroduceerd om dergelijk werk te reguleren, als om verhaal te bieden wanneer adolescenten het slachtoffer zijn van uitbuiting. De bescherming tegen gevaarlijk werk van alle kinderen jonger dan 18 jaar moet worden bepaald, met een duidelijke lijst van specifiek schadelijk werk. Inspanningen gericht op het voorkomen van schadelijk werk en schadelijke arbeidsomstandigheden dienen prioriteit te krijgen, met speciale aandacht voor meisjes die huishoudelijk werk verrichten en andere vaak "onzichtbare" werknemers.</w:t>
      </w:r>
    </w:p>
    <w:p w14:paraId="5C07E645" w14:textId="77777777" w:rsidR="00646AD7" w:rsidRPr="000D51EF" w:rsidRDefault="00646AD7" w:rsidP="00FD0956">
      <w:pPr>
        <w:pStyle w:val="H23G"/>
      </w:pPr>
      <w:r>
        <w:tab/>
      </w:r>
      <w:r>
        <w:tab/>
        <w:t>Gerechtigheid voor adolescenten</w:t>
      </w:r>
    </w:p>
    <w:p w14:paraId="3619D3F6" w14:textId="77777777" w:rsidR="00646AD7" w:rsidRPr="000D51EF" w:rsidRDefault="00646AD7" w:rsidP="00EF5C0B">
      <w:pPr>
        <w:pStyle w:val="SingleTxtG"/>
      </w:pPr>
      <w:r>
        <w:t>87.</w:t>
      </w:r>
      <w:r>
        <w:tab/>
        <w:t xml:space="preserve">Adolescenten kunnen in contact komen met rechtssystemen door conflicten met de wet, als slachtoffers of getuigen van misdrijven of om andere redenen, zoals zorg, voogdij of bescherming. Er zijn maatregelen nodig om adolescenten minder kwetsbaar te maken als slachtoffer en als dader van misdrijven. </w:t>
      </w:r>
    </w:p>
    <w:p w14:paraId="17E5579E" w14:textId="77FC0812" w:rsidR="00646AD7" w:rsidRPr="000D51EF" w:rsidRDefault="00646AD7" w:rsidP="00EF5C0B">
      <w:pPr>
        <w:pStyle w:val="SingleTxtG"/>
      </w:pPr>
      <w:r>
        <w:t>88.</w:t>
      </w:r>
      <w:r>
        <w:tab/>
        <w:t>Er wordt bij Staten die partij zijn op aangedrongen een omvattend jeugdrechtbeleid te voeren dat de nadruk legt op herstelrecht, omleiding van gerechtelijke procedures, alternatieve maatregelen voor detentie en preventieve interventies, om sociale factoren en onderliggende oorzaken aan te pakken, in overeenstemming met de artikelen 37 en 40 van het Verdrag en de Richtsnoeren van de Verenigde Naties over de preventie van jeugdcriminaliteit. De nadruk moet liggen op rehabilitatie en re-integratie, ook voor jongeren die betrokken zijn bij activiteiten die als terrorisme worden aangemerkt, in overeenstemming met de aanbevelingen in General Comment nr. 10 (2007) over kinderrechten in het jeugdrecht. Detentie mag alleen worden gebruikt als een laatste redmiddel en voor de kortst mogelijke periode, en adolescenten moeten apart van volwassenen worden vastgehouden. Het Comité benadrukt de noodzaak om de doodstraf uit te bannen en levenslange gevangenisstraf te verbieden voor iedereen die veroordeeld is voor een misdrijf dat is gepleegd onder de leeftijd van 18 jaar. Het Comité maakt zich ernstig zorgen over het aantal Staten die partij zijn bij het Verdrag dat de leeftijd van criminele verantwoordelijkheid wil verlagen. Het Comité doet een beroep op de Staten die partij zijn om de leeftijd voor strafrechtelijke meerderjarigheid op 18 jaar te houden.</w:t>
      </w:r>
    </w:p>
    <w:p w14:paraId="545EF44E" w14:textId="77777777" w:rsidR="00646AD7" w:rsidRPr="000D51EF" w:rsidRDefault="00646AD7" w:rsidP="00FD0956">
      <w:pPr>
        <w:pStyle w:val="HChG"/>
      </w:pPr>
      <w:r>
        <w:tab/>
      </w:r>
      <w:bookmarkStart w:id="23" w:name="_Toc468797249"/>
      <w:r>
        <w:t>XIV.</w:t>
      </w:r>
      <w:r>
        <w:tab/>
        <w:t>Internationale samenwerking</w:t>
      </w:r>
      <w:bookmarkEnd w:id="23"/>
    </w:p>
    <w:p w14:paraId="59CF3F1C" w14:textId="77777777" w:rsidR="00646AD7" w:rsidRPr="000D51EF" w:rsidRDefault="00646AD7" w:rsidP="00EF5C0B">
      <w:pPr>
        <w:pStyle w:val="SingleTxtG"/>
      </w:pPr>
      <w:r>
        <w:t>89.</w:t>
      </w:r>
      <w:r>
        <w:tab/>
        <w:t xml:space="preserve">Het Comité benadrukt dat de uitvoering van het Verdrag een samenwerkingsproject is voor de Staten die partij zijn en vestigt de aandacht op de noodzaak van internationale samenwerking. Het Comité stimuleert de Staten die partij zijn om bij te dragen en, in voorkomend geval, gebruik te maken van technische bijstand van de Verenigde Naties en regionale organisaties bij de uitvoering van de rechten van adolescenten. </w:t>
      </w:r>
    </w:p>
    <w:p w14:paraId="7EB4E8CA" w14:textId="77777777" w:rsidR="00646AD7" w:rsidRPr="000D51EF" w:rsidRDefault="00646AD7" w:rsidP="00FD0956">
      <w:pPr>
        <w:pStyle w:val="HChG"/>
      </w:pPr>
      <w:r>
        <w:lastRenderedPageBreak/>
        <w:tab/>
      </w:r>
      <w:bookmarkStart w:id="24" w:name="_Toc468797250"/>
      <w:r>
        <w:t>XV.</w:t>
      </w:r>
      <w:r>
        <w:tab/>
        <w:t>Verspreiding</w:t>
      </w:r>
      <w:bookmarkEnd w:id="24"/>
      <w:r>
        <w:t xml:space="preserve"> </w:t>
      </w:r>
    </w:p>
    <w:p w14:paraId="7D53827E" w14:textId="77777777" w:rsidR="00646AD7" w:rsidRDefault="00646AD7" w:rsidP="00EF5C0B">
      <w:pPr>
        <w:pStyle w:val="SingleTxtG"/>
      </w:pPr>
      <w:r>
        <w:t>90.</w:t>
      </w:r>
      <w:r>
        <w:tab/>
        <w:t>Het Comité adviseert de Staten dit General Comment op ruime schaal te verspreiden onder alle belanghebbenden, met name het parlement en op alle overheidsniveaus, ook binnen ministeries, bij gemeentelijke/lokale autoriteiten, en onder alle adolescenten. Het Comité adviseert ook dit General Comment te laten vertalen in alle relevante talen, in versies die geschikt zijn voor jongeren en in formats die toegankelijk zijn voor jongeren met een beperking.</w:t>
      </w:r>
    </w:p>
    <w:p w14:paraId="07C21862" w14:textId="77777777" w:rsidR="00C47A5E" w:rsidRDefault="00FD0956">
      <w:pPr>
        <w:spacing w:before="240"/>
        <w:jc w:val="center"/>
        <w:rPr>
          <w:u w:val="single"/>
        </w:rPr>
      </w:pPr>
      <w:r>
        <w:rPr>
          <w:u w:val="single"/>
        </w:rPr>
        <w:tab/>
      </w:r>
      <w:r>
        <w:rPr>
          <w:u w:val="single"/>
        </w:rPr>
        <w:tab/>
      </w:r>
      <w:r>
        <w:rPr>
          <w:u w:val="single"/>
        </w:rPr>
        <w:tab/>
      </w:r>
    </w:p>
    <w:sectPr w:rsidR="00C47A5E" w:rsidSect="00D03817">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A2F2C2" w14:textId="77777777" w:rsidR="002300DA" w:rsidRPr="00C60504" w:rsidRDefault="002300DA" w:rsidP="00C60504">
      <w:pPr>
        <w:pStyle w:val="Footer"/>
      </w:pPr>
    </w:p>
  </w:endnote>
  <w:endnote w:type="continuationSeparator" w:id="0">
    <w:p w14:paraId="70E6FCB9" w14:textId="77777777" w:rsidR="002300DA" w:rsidRPr="00C60504" w:rsidRDefault="002300DA" w:rsidP="00C60504">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14B7D" w14:textId="77777777" w:rsidR="00D03817" w:rsidRPr="00D03817" w:rsidRDefault="00D03817" w:rsidP="005F62BA">
    <w:pPr>
      <w:pStyle w:val="Footer"/>
      <w:tabs>
        <w:tab w:val="right" w:pos="9598"/>
      </w:tabs>
    </w:pPr>
    <w:r w:rsidRPr="00D03817">
      <w:rPr>
        <w:b/>
        <w:sz w:val="18"/>
      </w:rPr>
      <w:fldChar w:fldCharType="begin"/>
    </w:r>
    <w:r w:rsidRPr="00D03817">
      <w:rPr>
        <w:b/>
        <w:sz w:val="18"/>
      </w:rPr>
      <w:instrText xml:space="preserve"> PAGE  \* MERGEFORMAT </w:instrText>
    </w:r>
    <w:r w:rsidRPr="00D03817">
      <w:rPr>
        <w:b/>
        <w:sz w:val="18"/>
      </w:rPr>
      <w:fldChar w:fldCharType="separate"/>
    </w:r>
    <w:r w:rsidR="004638D2">
      <w:rPr>
        <w:b/>
        <w:sz w:val="18"/>
      </w:rPr>
      <w:t>20</w:t>
    </w:r>
    <w:r w:rsidRPr="00D03817">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2A0A8" w14:textId="77777777" w:rsidR="00D03817" w:rsidRPr="00D03817" w:rsidRDefault="00D03817" w:rsidP="00D03817">
    <w:pPr>
      <w:pStyle w:val="Footer"/>
      <w:tabs>
        <w:tab w:val="right" w:pos="9598"/>
      </w:tabs>
      <w:rPr>
        <w:b/>
        <w:sz w:val="18"/>
      </w:rPr>
    </w:pPr>
    <w:r>
      <w:tab/>
    </w:r>
    <w:r w:rsidRPr="00D03817">
      <w:rPr>
        <w:b/>
        <w:sz w:val="18"/>
      </w:rPr>
      <w:fldChar w:fldCharType="begin"/>
    </w:r>
    <w:r w:rsidRPr="00D03817">
      <w:rPr>
        <w:b/>
        <w:sz w:val="18"/>
      </w:rPr>
      <w:instrText xml:space="preserve"> PAGE  \* MERGEFORMAT </w:instrText>
    </w:r>
    <w:r w:rsidRPr="00D03817">
      <w:rPr>
        <w:b/>
        <w:sz w:val="18"/>
      </w:rPr>
      <w:fldChar w:fldCharType="separate"/>
    </w:r>
    <w:r w:rsidR="004638D2">
      <w:rPr>
        <w:b/>
        <w:sz w:val="18"/>
      </w:rPr>
      <w:t>21</w:t>
    </w:r>
    <w:r w:rsidRPr="00D03817">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017EE" w14:textId="77777777" w:rsidR="000A262B" w:rsidRDefault="00C924EC" w:rsidP="00C924EC">
    <w:pPr>
      <w:pStyle w:val="Footer"/>
    </w:pPr>
    <w:r>
      <w:rPr>
        <w:rFonts w:ascii="C39T30Lfz" w:hAnsi="C39T30Lfz"/>
        <w:noProof/>
        <w:sz w:val="56"/>
      </w:rPr>
      <w:drawing>
        <wp:anchor distT="0" distB="0" distL="114300" distR="114300" simplePos="0" relativeHeight="251662336" behindDoc="0" locked="0" layoutInCell="1" allowOverlap="1" wp14:anchorId="61165A4E" wp14:editId="31933B6D">
          <wp:simplePos x="0" y="0"/>
          <wp:positionH relativeFrom="margin">
            <wp:posOffset>5489575</wp:posOffset>
          </wp:positionH>
          <wp:positionV relativeFrom="margin">
            <wp:posOffset>7929880</wp:posOffset>
          </wp:positionV>
          <wp:extent cx="638175" cy="638175"/>
          <wp:effectExtent l="0" t="0" r="9525" b="9525"/>
          <wp:wrapNone/>
          <wp:docPr id="2" name="Picture 1" descr="http://undocs.org/m2/QRCode.ashx?DS=CRC/C/GC/20*&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CRC/C/GC/20*&amp;Size=2 &amp;Lan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39T30Lfz" w:hAnsi="C39T30Lfz"/>
        <w:noProof/>
        <w:sz w:val="56"/>
        <w:u w:val="single"/>
      </w:rPr>
      <w:drawing>
        <wp:anchor distT="0" distB="0" distL="114300" distR="114300" simplePos="0" relativeHeight="251659264" behindDoc="0" locked="0" layoutInCell="1" allowOverlap="1" wp14:anchorId="785B9D4F" wp14:editId="6DAEE24C">
          <wp:simplePos x="0" y="0"/>
          <wp:positionH relativeFrom="margin">
            <wp:posOffset>4340860</wp:posOffset>
          </wp:positionH>
          <wp:positionV relativeFrom="margin">
            <wp:posOffset>8240725</wp:posOffset>
          </wp:positionV>
          <wp:extent cx="974725" cy="26733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974725" cy="267335"/>
                  </a:xfrm>
                  <a:prstGeom prst="rect">
                    <a:avLst/>
                  </a:prstGeom>
                </pic:spPr>
              </pic:pic>
            </a:graphicData>
          </a:graphic>
        </wp:anchor>
      </w:drawing>
    </w:r>
  </w:p>
  <w:p w14:paraId="03B2CB00" w14:textId="77777777" w:rsidR="00C924EC" w:rsidRDefault="00C924EC" w:rsidP="00C924EC">
    <w:pPr>
      <w:pStyle w:val="Footer"/>
      <w:ind w:right="1134"/>
      <w:rPr>
        <w:sz w:val="20"/>
      </w:rPr>
    </w:pPr>
    <w:r>
      <w:rPr>
        <w:sz w:val="20"/>
      </w:rPr>
      <w:t>GE.16-21563(E)</w:t>
    </w:r>
  </w:p>
  <w:p w14:paraId="7D2261B0" w14:textId="77777777" w:rsidR="00C924EC" w:rsidRPr="00C924EC" w:rsidRDefault="00C924EC" w:rsidP="00C924EC">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D877A4" w14:textId="77777777" w:rsidR="002300DA" w:rsidRPr="00C60504" w:rsidRDefault="002300DA" w:rsidP="00C60504">
      <w:pPr>
        <w:tabs>
          <w:tab w:val="right" w:pos="2155"/>
        </w:tabs>
        <w:spacing w:after="80" w:line="240" w:lineRule="auto"/>
        <w:ind w:left="680"/>
      </w:pPr>
      <w:r>
        <w:rPr>
          <w:u w:val="single"/>
        </w:rPr>
        <w:tab/>
      </w:r>
    </w:p>
  </w:footnote>
  <w:footnote w:type="continuationSeparator" w:id="0">
    <w:p w14:paraId="09FBBF50" w14:textId="77777777" w:rsidR="002300DA" w:rsidRPr="00C60504" w:rsidRDefault="002300DA" w:rsidP="00C60504">
      <w:pPr>
        <w:tabs>
          <w:tab w:val="right" w:pos="2155"/>
        </w:tabs>
        <w:spacing w:after="80" w:line="240" w:lineRule="auto"/>
        <w:ind w:left="680"/>
      </w:pPr>
      <w:r>
        <w:rPr>
          <w:u w:val="single"/>
        </w:rPr>
        <w:tab/>
      </w:r>
    </w:p>
  </w:footnote>
  <w:footnote w:id="1">
    <w:p w14:paraId="692C6E86" w14:textId="77777777" w:rsidR="002A7713" w:rsidRPr="007E6A26" w:rsidRDefault="002A7713" w:rsidP="00167620">
      <w:pPr>
        <w:pStyle w:val="FootnoteText"/>
      </w:pPr>
      <w:r>
        <w:rPr>
          <w:rStyle w:val="FootnoteReference"/>
        </w:rPr>
        <w:tab/>
      </w:r>
      <w:r>
        <w:rPr>
          <w:rStyle w:val="FootnoteReference"/>
          <w:sz w:val="20"/>
          <w:vertAlign w:val="baseline"/>
        </w:rPr>
        <w:t>*</w:t>
      </w:r>
      <w:r>
        <w:rPr>
          <w:rStyle w:val="FootnoteReference"/>
          <w:sz w:val="20"/>
          <w:vertAlign w:val="baseline"/>
        </w:rPr>
        <w:tab/>
      </w:r>
      <w:r>
        <w:t>Derde heruitgave om technische redenen (20 april 2017).</w:t>
      </w:r>
    </w:p>
  </w:footnote>
  <w:footnote w:id="2">
    <w:p w14:paraId="689900B1" w14:textId="77777777" w:rsidR="00646AD7" w:rsidRPr="009F6A13" w:rsidRDefault="00646AD7" w:rsidP="00646AD7">
      <w:pPr>
        <w:pStyle w:val="FootnoteText"/>
        <w:widowControl w:val="0"/>
        <w:tabs>
          <w:tab w:val="clear" w:pos="1021"/>
          <w:tab w:val="right" w:pos="1020"/>
        </w:tabs>
      </w:pPr>
      <w:r>
        <w:tab/>
      </w:r>
      <w:r>
        <w:rPr>
          <w:rStyle w:val="FootnoteReference"/>
        </w:rPr>
        <w:footnoteRef/>
      </w:r>
      <w:r>
        <w:tab/>
        <w:t>Zie www.who.int/maternal_child_adolescent/topics/adolescence/dev/en/.</w:t>
      </w:r>
    </w:p>
  </w:footnote>
  <w:footnote w:id="3">
    <w:p w14:paraId="50BC635C" w14:textId="77777777" w:rsidR="00646AD7" w:rsidRPr="009F6A13" w:rsidRDefault="00646AD7" w:rsidP="00646AD7">
      <w:pPr>
        <w:pStyle w:val="FootnoteText"/>
        <w:widowControl w:val="0"/>
        <w:tabs>
          <w:tab w:val="clear" w:pos="1021"/>
          <w:tab w:val="right" w:pos="1020"/>
        </w:tabs>
      </w:pPr>
      <w:r>
        <w:tab/>
      </w:r>
      <w:r>
        <w:rPr>
          <w:rStyle w:val="FootnoteReference"/>
        </w:rPr>
        <w:footnoteRef/>
      </w:r>
      <w:r>
        <w:tab/>
        <w:t>Zie General Comment nr. 7 (2005) van het Comité voor de Rechten van het Kind over kinderrechten in de vroege kinderjaren, par. 8.</w:t>
      </w:r>
    </w:p>
  </w:footnote>
  <w:footnote w:id="4">
    <w:p w14:paraId="663CB130" w14:textId="77777777" w:rsidR="00646AD7" w:rsidRPr="009F6A13" w:rsidRDefault="00646AD7" w:rsidP="00646AD7">
      <w:pPr>
        <w:pStyle w:val="FootnoteText"/>
        <w:widowControl w:val="0"/>
        <w:tabs>
          <w:tab w:val="clear" w:pos="1021"/>
          <w:tab w:val="right" w:pos="1020"/>
        </w:tabs>
      </w:pPr>
      <w:r>
        <w:tab/>
      </w:r>
      <w:r>
        <w:rPr>
          <w:rStyle w:val="FootnoteReference"/>
        </w:rPr>
        <w:footnoteRef/>
      </w:r>
      <w:r>
        <w:tab/>
        <w:t>Ibid., par. 17.</w:t>
      </w:r>
    </w:p>
  </w:footnote>
  <w:footnote w:id="5">
    <w:p w14:paraId="41666670" w14:textId="77777777" w:rsidR="00646AD7" w:rsidRPr="009F6A13" w:rsidRDefault="00646AD7" w:rsidP="00646AD7">
      <w:pPr>
        <w:pStyle w:val="FootnoteText"/>
        <w:widowControl w:val="0"/>
        <w:tabs>
          <w:tab w:val="clear" w:pos="1021"/>
          <w:tab w:val="right" w:pos="1020"/>
        </w:tabs>
      </w:pPr>
      <w:r>
        <w:tab/>
      </w:r>
      <w:r>
        <w:rPr>
          <w:rStyle w:val="FootnoteReference"/>
        </w:rPr>
        <w:footnoteRef/>
      </w:r>
      <w:r>
        <w:tab/>
        <w:t>Zie General Comment nr. 12 (2009) over het recht van het kind om gehoord te worden, par. 84.</w:t>
      </w:r>
    </w:p>
  </w:footnote>
  <w:footnote w:id="6">
    <w:p w14:paraId="1074B507" w14:textId="77777777" w:rsidR="00646AD7" w:rsidRPr="009F6A13" w:rsidRDefault="00646AD7" w:rsidP="00646AD7">
      <w:pPr>
        <w:pStyle w:val="FootnoteText"/>
        <w:widowControl w:val="0"/>
        <w:tabs>
          <w:tab w:val="clear" w:pos="1021"/>
          <w:tab w:val="right" w:pos="1020"/>
        </w:tabs>
      </w:pPr>
      <w:r>
        <w:tab/>
      </w:r>
      <w:r>
        <w:rPr>
          <w:rStyle w:val="FootnoteReference"/>
        </w:rPr>
        <w:footnoteRef/>
      </w:r>
      <w:r>
        <w:tab/>
        <w:t>Zie bijvoorbeeld art. 32-39 van het Verdrag.</w:t>
      </w:r>
    </w:p>
  </w:footnote>
  <w:footnote w:id="7">
    <w:p w14:paraId="685174F4" w14:textId="77777777" w:rsidR="00646AD7" w:rsidRPr="009F6A13" w:rsidRDefault="00646AD7" w:rsidP="00646AD7">
      <w:pPr>
        <w:pStyle w:val="FootnoteText"/>
        <w:widowControl w:val="0"/>
        <w:tabs>
          <w:tab w:val="clear" w:pos="1021"/>
          <w:tab w:val="right" w:pos="1020"/>
        </w:tabs>
      </w:pPr>
      <w:r>
        <w:tab/>
      </w:r>
      <w:r>
        <w:rPr>
          <w:rStyle w:val="FootnoteReference"/>
        </w:rPr>
        <w:footnoteRef/>
      </w:r>
      <w:r>
        <w:tab/>
        <w:t>Zie www2.ohchr.org/english/issues/women/rapporteur/docs/15YearReviewofVAWMandate.pdf.</w:t>
      </w:r>
    </w:p>
  </w:footnote>
  <w:footnote w:id="8">
    <w:p w14:paraId="1800A350" w14:textId="77777777" w:rsidR="00646AD7" w:rsidRPr="009F6A13" w:rsidRDefault="00646AD7" w:rsidP="00646AD7">
      <w:pPr>
        <w:pStyle w:val="FootnoteText"/>
        <w:widowControl w:val="0"/>
        <w:tabs>
          <w:tab w:val="clear" w:pos="1021"/>
          <w:tab w:val="right" w:pos="1020"/>
        </w:tabs>
      </w:pPr>
      <w:r>
        <w:tab/>
      </w:r>
      <w:r>
        <w:rPr>
          <w:rStyle w:val="FootnoteReference"/>
        </w:rPr>
        <w:footnoteRef/>
      </w:r>
      <w:r>
        <w:tab/>
        <w:t>Zie General Comment nr. 5 (2003) over de algemene maatregelen ter uitvoering van het Verdrag, par. 12.</w:t>
      </w:r>
    </w:p>
  </w:footnote>
  <w:footnote w:id="9">
    <w:p w14:paraId="6B85F267" w14:textId="77777777" w:rsidR="00646AD7" w:rsidRPr="009F6A13" w:rsidRDefault="00646AD7" w:rsidP="00646AD7">
      <w:pPr>
        <w:pStyle w:val="FootnoteText"/>
        <w:widowControl w:val="0"/>
        <w:tabs>
          <w:tab w:val="clear" w:pos="1021"/>
          <w:tab w:val="right" w:pos="1020"/>
        </w:tabs>
      </w:pPr>
      <w:r>
        <w:tab/>
      </w:r>
      <w:r>
        <w:rPr>
          <w:rStyle w:val="FootnoteReference"/>
        </w:rPr>
        <w:footnoteRef/>
      </w:r>
      <w:r>
        <w:tab/>
        <w:t>Zie General Comment nr. 18 (1989) van het Mensenrechtencomité over non-discriminatie, par. 147.</w:t>
      </w:r>
    </w:p>
  </w:footnote>
  <w:footnote w:id="10">
    <w:p w14:paraId="0CB1380E" w14:textId="77777777" w:rsidR="00646AD7" w:rsidRPr="009F6A13" w:rsidRDefault="00646AD7" w:rsidP="00646AD7">
      <w:pPr>
        <w:pStyle w:val="FootnoteText"/>
        <w:widowControl w:val="0"/>
        <w:tabs>
          <w:tab w:val="clear" w:pos="1021"/>
          <w:tab w:val="right" w:pos="1020"/>
        </w:tabs>
      </w:pPr>
      <w:r>
        <w:tab/>
      </w:r>
      <w:r>
        <w:rPr>
          <w:rStyle w:val="FootnoteReference"/>
        </w:rPr>
        <w:footnoteRef/>
      </w:r>
      <w:r>
        <w:tab/>
        <w:t>Zie  General Comment nr. 14 (2013) van het Mensenrechtencomité over het recht van het kind zijn of haar belang als eerste overweging te laten gelden, par. 6.</w:t>
      </w:r>
    </w:p>
  </w:footnote>
  <w:footnote w:id="11">
    <w:p w14:paraId="05C03473" w14:textId="77777777" w:rsidR="00646AD7" w:rsidRPr="00D330FB" w:rsidRDefault="00646AD7" w:rsidP="00646AD7">
      <w:pPr>
        <w:pStyle w:val="FootnoteText"/>
        <w:widowControl w:val="0"/>
        <w:tabs>
          <w:tab w:val="clear" w:pos="1021"/>
          <w:tab w:val="right" w:pos="1020"/>
        </w:tabs>
        <w:rPr>
          <w:lang w:val="fr-FR"/>
        </w:rPr>
      </w:pPr>
      <w:r>
        <w:tab/>
      </w:r>
      <w:r>
        <w:rPr>
          <w:rStyle w:val="FootnoteReference"/>
        </w:rPr>
        <w:footnoteRef/>
      </w:r>
      <w:r w:rsidRPr="00D330FB">
        <w:rPr>
          <w:lang w:val="fr-FR"/>
        </w:rPr>
        <w:tab/>
        <w:t>Zie General Comment nr. 12, par. 70-74, en General Comment nr. 14, par. 43-45.</w:t>
      </w:r>
    </w:p>
  </w:footnote>
  <w:footnote w:id="12">
    <w:p w14:paraId="39A8DE91" w14:textId="77777777" w:rsidR="00646AD7" w:rsidRPr="009F6A13" w:rsidRDefault="00646AD7" w:rsidP="00646AD7">
      <w:pPr>
        <w:pStyle w:val="FootnoteText"/>
        <w:widowControl w:val="0"/>
        <w:tabs>
          <w:tab w:val="clear" w:pos="1021"/>
          <w:tab w:val="right" w:pos="1020"/>
        </w:tabs>
      </w:pPr>
      <w:r w:rsidRPr="00D330FB">
        <w:rPr>
          <w:lang w:val="fr-FR"/>
        </w:rPr>
        <w:tab/>
      </w:r>
      <w:r>
        <w:rPr>
          <w:rStyle w:val="FootnoteReference"/>
        </w:rPr>
        <w:footnoteRef/>
      </w:r>
      <w:r>
        <w:tab/>
        <w:t>Zie General Comment nr. 12, par. 27.</w:t>
      </w:r>
    </w:p>
  </w:footnote>
  <w:footnote w:id="13">
    <w:p w14:paraId="1E6F42C2" w14:textId="77777777" w:rsidR="00646AD7" w:rsidRPr="009F6A13" w:rsidRDefault="00646AD7" w:rsidP="00646AD7">
      <w:pPr>
        <w:pStyle w:val="FootnoteText"/>
        <w:widowControl w:val="0"/>
        <w:tabs>
          <w:tab w:val="clear" w:pos="1021"/>
          <w:tab w:val="right" w:pos="1020"/>
        </w:tabs>
      </w:pPr>
      <w:r>
        <w:tab/>
      </w:r>
      <w:r>
        <w:rPr>
          <w:rStyle w:val="FootnoteReference"/>
        </w:rPr>
        <w:footnoteRef/>
      </w:r>
      <w:r>
        <w:tab/>
        <w:t>Zie A/HRC/26/22, par. 21.</w:t>
      </w:r>
    </w:p>
  </w:footnote>
  <w:footnote w:id="14">
    <w:p w14:paraId="2D60DD67" w14:textId="77777777" w:rsidR="00646AD7" w:rsidRPr="009F6A13" w:rsidRDefault="00646AD7" w:rsidP="00646AD7">
      <w:pPr>
        <w:pStyle w:val="FootnoteText"/>
        <w:widowControl w:val="0"/>
        <w:tabs>
          <w:tab w:val="clear" w:pos="1021"/>
          <w:tab w:val="right" w:pos="1020"/>
        </w:tabs>
      </w:pPr>
      <w:r>
        <w:tab/>
      </w:r>
      <w:r>
        <w:rPr>
          <w:rStyle w:val="FootnoteReference"/>
        </w:rPr>
        <w:footnoteRef/>
      </w:r>
      <w:r>
        <w:tab/>
        <w:t>Zie General Comment nr. 9 (2006) over de rechten van kinderen met een beperking, par. 8-10.</w:t>
      </w:r>
    </w:p>
  </w:footnote>
  <w:footnote w:id="15">
    <w:p w14:paraId="781A727C" w14:textId="77777777" w:rsidR="00646AD7" w:rsidRPr="00D330FB" w:rsidRDefault="00646AD7" w:rsidP="00646AD7">
      <w:pPr>
        <w:pStyle w:val="FootnoteText"/>
        <w:widowControl w:val="0"/>
        <w:tabs>
          <w:tab w:val="clear" w:pos="1021"/>
          <w:tab w:val="right" w:pos="1020"/>
        </w:tabs>
        <w:rPr>
          <w:lang w:val="fr-FR"/>
        </w:rPr>
      </w:pPr>
      <w:r>
        <w:tab/>
      </w:r>
      <w:r>
        <w:rPr>
          <w:rStyle w:val="FootnoteReference"/>
        </w:rPr>
        <w:footnoteRef/>
      </w:r>
      <w:r w:rsidRPr="00D330FB">
        <w:rPr>
          <w:lang w:val="fr-FR"/>
        </w:rPr>
        <w:tab/>
        <w:t xml:space="preserve">Zie A/HRC/22/53, par. </w:t>
      </w:r>
    </w:p>
  </w:footnote>
  <w:footnote w:id="16">
    <w:p w14:paraId="29A6F67C" w14:textId="77777777" w:rsidR="00646AD7" w:rsidRPr="00D330FB" w:rsidRDefault="00646AD7" w:rsidP="00646AD7">
      <w:pPr>
        <w:pStyle w:val="FootnoteText"/>
        <w:widowControl w:val="0"/>
        <w:tabs>
          <w:tab w:val="clear" w:pos="1021"/>
          <w:tab w:val="right" w:pos="1020"/>
        </w:tabs>
        <w:rPr>
          <w:lang w:val="fr-FR"/>
        </w:rPr>
      </w:pPr>
      <w:r w:rsidRPr="00D330FB">
        <w:rPr>
          <w:lang w:val="fr-FR"/>
        </w:rPr>
        <w:tab/>
      </w:r>
      <w:r>
        <w:rPr>
          <w:rStyle w:val="FootnoteReference"/>
        </w:rPr>
        <w:footnoteRef/>
      </w:r>
      <w:r w:rsidRPr="00D330FB">
        <w:rPr>
          <w:lang w:val="fr-FR"/>
        </w:rPr>
        <w:tab/>
        <w:t>Zie A/66/230, par. 44-49.</w:t>
      </w:r>
    </w:p>
  </w:footnote>
  <w:footnote w:id="17">
    <w:p w14:paraId="054ABB35" w14:textId="52381DF3" w:rsidR="00646AD7" w:rsidRPr="009F6A13" w:rsidRDefault="00646AD7" w:rsidP="00646AD7">
      <w:pPr>
        <w:pStyle w:val="FootnoteText"/>
        <w:widowControl w:val="0"/>
        <w:tabs>
          <w:tab w:val="clear" w:pos="1021"/>
          <w:tab w:val="right" w:pos="1020"/>
        </w:tabs>
      </w:pPr>
      <w:r w:rsidRPr="00D330FB">
        <w:rPr>
          <w:lang w:val="fr-FR"/>
        </w:rPr>
        <w:tab/>
      </w:r>
      <w:r>
        <w:rPr>
          <w:rStyle w:val="FootnoteReference"/>
        </w:rPr>
        <w:footnoteRef/>
      </w:r>
      <w:r>
        <w:tab/>
        <w:t>Zie de verklaring van 13 mei 2015 van het Comité voor de Rechten van het Kind en andere organisaties van de Verenigde Naties en regionale mensenrechtenorganisaties, te vinden op www.ohchr.org/EN/NewsEvents/Pages/DisplayNews.aspx?NewsID=15941&amp;LangID=E.</w:t>
      </w:r>
    </w:p>
  </w:footnote>
  <w:footnote w:id="18">
    <w:p w14:paraId="1EFC90A9" w14:textId="77777777" w:rsidR="00646AD7" w:rsidRPr="009F6A13" w:rsidRDefault="00646AD7" w:rsidP="00646AD7">
      <w:pPr>
        <w:pStyle w:val="FootnoteText"/>
        <w:widowControl w:val="0"/>
        <w:tabs>
          <w:tab w:val="clear" w:pos="1021"/>
          <w:tab w:val="right" w:pos="1020"/>
        </w:tabs>
      </w:pPr>
      <w:r>
        <w:tab/>
      </w:r>
      <w:r>
        <w:rPr>
          <w:rStyle w:val="FootnoteReference"/>
        </w:rPr>
        <w:footnoteRef/>
      </w:r>
      <w:r>
        <w:tab/>
        <w:t>Ibid.</w:t>
      </w:r>
    </w:p>
  </w:footnote>
  <w:footnote w:id="19">
    <w:p w14:paraId="5A4663E8" w14:textId="77777777" w:rsidR="00646AD7" w:rsidRPr="009F6A13" w:rsidRDefault="00646AD7" w:rsidP="00646AD7">
      <w:pPr>
        <w:pStyle w:val="FootnoteText"/>
        <w:widowControl w:val="0"/>
        <w:tabs>
          <w:tab w:val="clear" w:pos="1021"/>
          <w:tab w:val="right" w:pos="1020"/>
        </w:tabs>
      </w:pPr>
      <w:r>
        <w:tab/>
      </w:r>
      <w:r>
        <w:rPr>
          <w:rStyle w:val="FootnoteReference"/>
        </w:rPr>
        <w:footnoteRef/>
      </w:r>
      <w:r>
        <w:tab/>
        <w:t>Zie General Comment nr. 12, par. 101.</w:t>
      </w:r>
    </w:p>
  </w:footnote>
  <w:footnote w:id="20">
    <w:p w14:paraId="5973A42E" w14:textId="77777777" w:rsidR="00646AD7" w:rsidRPr="009F6A13" w:rsidRDefault="00646AD7" w:rsidP="00646AD7">
      <w:pPr>
        <w:pStyle w:val="FootnoteText"/>
        <w:widowControl w:val="0"/>
        <w:tabs>
          <w:tab w:val="clear" w:pos="1021"/>
          <w:tab w:val="right" w:pos="1020"/>
        </w:tabs>
      </w:pPr>
      <w:r>
        <w:tab/>
      </w:r>
      <w:r>
        <w:rPr>
          <w:rStyle w:val="FootnoteReference"/>
        </w:rPr>
        <w:footnoteRef/>
      </w:r>
      <w:r>
        <w:tab/>
        <w:t>Zie bijvoorbeeld CRC/C/15/Add.194, par. 32 en 33, en CRC/C/15/Add.181, par. 29 en 30.</w:t>
      </w:r>
    </w:p>
  </w:footnote>
  <w:footnote w:id="21">
    <w:p w14:paraId="446E5DF0" w14:textId="4DE1CF24" w:rsidR="00646AD7" w:rsidRPr="009F6A13" w:rsidRDefault="00646AD7" w:rsidP="00646AD7">
      <w:pPr>
        <w:pStyle w:val="FootnoteText"/>
        <w:widowControl w:val="0"/>
        <w:tabs>
          <w:tab w:val="clear" w:pos="1021"/>
          <w:tab w:val="right" w:pos="1020"/>
        </w:tabs>
      </w:pPr>
      <w:r>
        <w:tab/>
      </w:r>
      <w:r>
        <w:rPr>
          <w:rStyle w:val="FootnoteReference"/>
        </w:rPr>
        <w:footnoteRef/>
      </w:r>
      <w:r w:rsidRPr="00D330FB">
        <w:rPr>
          <w:lang w:val="en-US"/>
        </w:rPr>
        <w:tab/>
        <w:t xml:space="preserve">Zie Kinderfonds van de Verenigde Naties (UNICEF), </w:t>
      </w:r>
      <w:r w:rsidRPr="00D330FB">
        <w:rPr>
          <w:i/>
          <w:iCs/>
          <w:lang w:val="en-US"/>
        </w:rPr>
        <w:t>Implementation Handbook on the Convention on the Rights of the Child</w:t>
      </w:r>
      <w:r w:rsidRPr="00D330FB">
        <w:rPr>
          <w:lang w:val="en-US"/>
        </w:rPr>
        <w:t xml:space="preserve"> (2007), pp. 203-211. </w:t>
      </w:r>
      <w:r>
        <w:t xml:space="preserve">Te vinden op www.unicef.org/publications/files/Implementation_Handbook_for_the_Convention_on_the_Rights_of_the_Child_Part_1_of_3.pdf. </w:t>
      </w:r>
    </w:p>
  </w:footnote>
  <w:footnote w:id="22">
    <w:p w14:paraId="5916A93C" w14:textId="77777777" w:rsidR="00646AD7" w:rsidRPr="009F6A13" w:rsidRDefault="00646AD7" w:rsidP="00646AD7">
      <w:pPr>
        <w:pStyle w:val="FootnoteText"/>
        <w:widowControl w:val="0"/>
        <w:tabs>
          <w:tab w:val="clear" w:pos="1021"/>
          <w:tab w:val="right" w:pos="1020"/>
        </w:tabs>
      </w:pPr>
      <w:r>
        <w:tab/>
      </w:r>
      <w:r>
        <w:rPr>
          <w:rStyle w:val="FootnoteReference"/>
        </w:rPr>
        <w:footnoteRef/>
      </w:r>
      <w:r>
        <w:tab/>
        <w:t>Zie General Comment nr. 16 (1988) van het Mensenrechtencomité over het recht op privacy, par. 2-4.</w:t>
      </w:r>
    </w:p>
  </w:footnote>
  <w:footnote w:id="23">
    <w:p w14:paraId="556755F6" w14:textId="715CEA79" w:rsidR="00646AD7" w:rsidRPr="009F6A13" w:rsidRDefault="00646AD7" w:rsidP="00646AD7">
      <w:pPr>
        <w:pStyle w:val="FootnoteText"/>
        <w:widowControl w:val="0"/>
        <w:tabs>
          <w:tab w:val="clear" w:pos="1021"/>
          <w:tab w:val="right" w:pos="1020"/>
        </w:tabs>
      </w:pPr>
      <w:r>
        <w:tab/>
      </w:r>
      <w:r>
        <w:rPr>
          <w:rStyle w:val="FootnoteReference"/>
        </w:rPr>
        <w:footnoteRef/>
      </w:r>
      <w:r>
        <w:tab/>
        <w:t>Zie voor de besprekingen van 2014 www.ohchr.org/Documents/HRBodies/CRC/Discussions/2014/DGD_report.pdf; zie voor de besprekingen van 1996 www.ohchr.org/Documents/HRBodies/CRC/Discussions/Recommendations/Recommendations1996.pdf.</w:t>
      </w:r>
    </w:p>
  </w:footnote>
  <w:footnote w:id="24">
    <w:p w14:paraId="78599F2C" w14:textId="77777777" w:rsidR="00646AD7" w:rsidRPr="00D330FB" w:rsidRDefault="00646AD7" w:rsidP="00646AD7">
      <w:pPr>
        <w:pStyle w:val="FootnoteText"/>
        <w:widowControl w:val="0"/>
        <w:tabs>
          <w:tab w:val="clear" w:pos="1021"/>
          <w:tab w:val="right" w:pos="1020"/>
        </w:tabs>
        <w:rPr>
          <w:lang w:val="fr-FR"/>
        </w:rPr>
      </w:pPr>
      <w:r>
        <w:tab/>
      </w:r>
      <w:r>
        <w:rPr>
          <w:rStyle w:val="FootnoteReference"/>
        </w:rPr>
        <w:footnoteRef/>
      </w:r>
      <w:r w:rsidRPr="00D330FB">
        <w:rPr>
          <w:lang w:val="fr-FR"/>
        </w:rPr>
        <w:tab/>
        <w:t>Zie www.ohchr.org/Documents/HRBodies/CRC/Discussions/2014/DGD_report.pdf, par. 95.</w:t>
      </w:r>
    </w:p>
  </w:footnote>
  <w:footnote w:id="25">
    <w:p w14:paraId="213C4EE7" w14:textId="77777777" w:rsidR="00646AD7" w:rsidRPr="009F6A13" w:rsidRDefault="00646AD7" w:rsidP="00646AD7">
      <w:pPr>
        <w:pStyle w:val="FootnoteText"/>
        <w:widowControl w:val="0"/>
        <w:tabs>
          <w:tab w:val="clear" w:pos="1021"/>
          <w:tab w:val="right" w:pos="1020"/>
        </w:tabs>
      </w:pPr>
      <w:r w:rsidRPr="00D330FB">
        <w:rPr>
          <w:lang w:val="fr-FR"/>
        </w:rPr>
        <w:tab/>
      </w:r>
      <w:r>
        <w:rPr>
          <w:rStyle w:val="FootnoteReference"/>
        </w:rPr>
        <w:footnoteRef/>
      </w:r>
      <w:r>
        <w:tab/>
        <w:t>Zie A/HRC/32/32.</w:t>
      </w:r>
    </w:p>
  </w:footnote>
  <w:footnote w:id="26">
    <w:p w14:paraId="21ABA765" w14:textId="77777777" w:rsidR="00646AD7" w:rsidRPr="009F6A13" w:rsidRDefault="00646AD7" w:rsidP="00646AD7">
      <w:pPr>
        <w:pStyle w:val="EndnoteText"/>
      </w:pPr>
      <w:r>
        <w:tab/>
      </w:r>
      <w:r>
        <w:rPr>
          <w:rStyle w:val="FootnoteReference"/>
        </w:rPr>
        <w:footnoteRef/>
      </w:r>
      <w:r>
        <w:tab/>
        <w:t xml:space="preserve">Resolutie 64/142 van de Algemene Vergadering, aanhangsel. Zie ook General Comment nr. 9 van het Comité voor de Rechten van het Kind. </w:t>
      </w:r>
    </w:p>
  </w:footnote>
  <w:footnote w:id="27">
    <w:p w14:paraId="51419F5D" w14:textId="77777777" w:rsidR="00646AD7" w:rsidRPr="009F6A13" w:rsidRDefault="00646AD7" w:rsidP="00646AD7">
      <w:pPr>
        <w:pStyle w:val="FootnoteText"/>
        <w:widowControl w:val="0"/>
        <w:tabs>
          <w:tab w:val="clear" w:pos="1021"/>
          <w:tab w:val="right" w:pos="1020"/>
        </w:tabs>
      </w:pPr>
      <w:r>
        <w:tab/>
      </w:r>
      <w:r>
        <w:rPr>
          <w:rStyle w:val="FootnoteReference"/>
        </w:rPr>
        <w:footnoteRef/>
      </w:r>
      <w:r>
        <w:tab/>
        <w:t>Zie General Comment nr. 15 (2013) over het recht van het kind om gehoord te worden, par. 38.</w:t>
      </w:r>
    </w:p>
  </w:footnote>
  <w:footnote w:id="28">
    <w:p w14:paraId="5D8B8C2C" w14:textId="77777777" w:rsidR="00646AD7" w:rsidRPr="009F6A13" w:rsidRDefault="00646AD7" w:rsidP="00646AD7">
      <w:pPr>
        <w:pStyle w:val="FootnoteText"/>
        <w:widowControl w:val="0"/>
        <w:tabs>
          <w:tab w:val="clear" w:pos="1021"/>
          <w:tab w:val="right" w:pos="1020"/>
        </w:tabs>
      </w:pPr>
      <w:r>
        <w:tab/>
      </w:r>
      <w:r>
        <w:rPr>
          <w:rStyle w:val="FootnoteReference"/>
        </w:rPr>
        <w:footnoteRef/>
      </w:r>
      <w:r>
        <w:tab/>
        <w:t>Zie A/HRC/32/32.</w:t>
      </w:r>
    </w:p>
  </w:footnote>
  <w:footnote w:id="29">
    <w:p w14:paraId="4D8D6893" w14:textId="77777777" w:rsidR="00646AD7" w:rsidRPr="009F6A13" w:rsidRDefault="00646AD7" w:rsidP="00646AD7">
      <w:pPr>
        <w:pStyle w:val="FootnoteText"/>
        <w:widowControl w:val="0"/>
        <w:tabs>
          <w:tab w:val="clear" w:pos="1021"/>
          <w:tab w:val="right" w:pos="1020"/>
        </w:tabs>
      </w:pPr>
      <w:r>
        <w:tab/>
      </w:r>
      <w:r>
        <w:rPr>
          <w:rStyle w:val="FootnoteReference"/>
        </w:rPr>
        <w:footnoteRef/>
      </w:r>
      <w:r>
        <w:tab/>
        <w:t>Zie General Comment nr. 20 (2009) van het Comité voor economische, sociale en culturele rechten over non-discriminatie bij economische, sociale en culturele rechten, par. 29.</w:t>
      </w:r>
    </w:p>
  </w:footnote>
  <w:footnote w:id="30">
    <w:p w14:paraId="44F19B28" w14:textId="77777777" w:rsidR="00646AD7" w:rsidRPr="009F6A13" w:rsidRDefault="00646AD7" w:rsidP="00646AD7">
      <w:pPr>
        <w:pStyle w:val="FootnoteText"/>
        <w:widowControl w:val="0"/>
        <w:tabs>
          <w:tab w:val="clear" w:pos="1021"/>
          <w:tab w:val="right" w:pos="1020"/>
        </w:tabs>
      </w:pPr>
      <w:r>
        <w:tab/>
      </w:r>
      <w:r>
        <w:rPr>
          <w:rStyle w:val="FootnoteReference"/>
        </w:rPr>
        <w:footnoteRef/>
      </w:r>
      <w:r>
        <w:tab/>
        <w:t xml:space="preserve">Zie </w:t>
      </w:r>
      <w:hyperlink r:id="rId1" w:history="1">
        <w:r>
          <w:t>http://apps.who.int/iris/bitstream/10665/112750/1/WHO_FWC_MCA_14.05_eng.pdf?ua=1</w:t>
        </w:r>
      </w:hyperlink>
      <w:r>
        <w:t xml:space="preserve">, p. 3. </w:t>
      </w:r>
    </w:p>
  </w:footnote>
  <w:footnote w:id="31">
    <w:p w14:paraId="03DA1983" w14:textId="77777777" w:rsidR="00646AD7" w:rsidRPr="009F6A13" w:rsidRDefault="00646AD7" w:rsidP="00646AD7">
      <w:pPr>
        <w:pStyle w:val="FootnoteText"/>
        <w:widowControl w:val="0"/>
        <w:tabs>
          <w:tab w:val="clear" w:pos="1021"/>
          <w:tab w:val="right" w:pos="1020"/>
        </w:tabs>
      </w:pPr>
      <w:r>
        <w:tab/>
      </w:r>
      <w:r>
        <w:rPr>
          <w:rStyle w:val="FootnoteReference"/>
        </w:rPr>
        <w:footnoteRef/>
      </w:r>
      <w:r>
        <w:tab/>
        <w:t>Zie A/HRC/32/32.</w:t>
      </w:r>
    </w:p>
  </w:footnote>
  <w:footnote w:id="32">
    <w:p w14:paraId="6111711B" w14:textId="77777777" w:rsidR="00646AD7" w:rsidRPr="009F6A13" w:rsidRDefault="00646AD7" w:rsidP="00646AD7">
      <w:pPr>
        <w:pStyle w:val="FootnoteText"/>
        <w:widowControl w:val="0"/>
        <w:tabs>
          <w:tab w:val="clear" w:pos="1021"/>
          <w:tab w:val="right" w:pos="1020"/>
        </w:tabs>
      </w:pPr>
      <w:r>
        <w:tab/>
      </w:r>
      <w:r>
        <w:rPr>
          <w:rStyle w:val="FootnoteReference"/>
        </w:rPr>
        <w:footnoteRef/>
      </w:r>
      <w:r>
        <w:tab/>
        <w:t>Zie www.unicef.org/adolescence/files/SOWC_2011_Main_Report_EN_02092011.pdf.</w:t>
      </w:r>
    </w:p>
  </w:footnote>
  <w:footnote w:id="33">
    <w:p w14:paraId="752D13B0" w14:textId="77777777" w:rsidR="00646AD7" w:rsidRPr="009F6A13" w:rsidRDefault="00646AD7" w:rsidP="00646AD7">
      <w:pPr>
        <w:pStyle w:val="FootnoteText"/>
        <w:widowControl w:val="0"/>
        <w:tabs>
          <w:tab w:val="clear" w:pos="1021"/>
          <w:tab w:val="right" w:pos="1020"/>
        </w:tabs>
      </w:pPr>
      <w:r>
        <w:tab/>
      </w:r>
      <w:r>
        <w:rPr>
          <w:rStyle w:val="FootnoteReference"/>
        </w:rPr>
        <w:footnoteRef/>
      </w:r>
      <w:r>
        <w:tab/>
        <w:t>Zie General Comment nr. 1 (2001) van het Comité voor de Rechten van het Kind over onderwijsdoelen, par. 2.</w:t>
      </w:r>
    </w:p>
  </w:footnote>
  <w:footnote w:id="34">
    <w:p w14:paraId="5D5942F1" w14:textId="77777777" w:rsidR="00646AD7" w:rsidRPr="009F6A13" w:rsidRDefault="00646AD7" w:rsidP="00646AD7">
      <w:pPr>
        <w:pStyle w:val="FootnoteText"/>
        <w:widowControl w:val="0"/>
        <w:tabs>
          <w:tab w:val="clear" w:pos="1021"/>
          <w:tab w:val="right" w:pos="1020"/>
        </w:tabs>
      </w:pPr>
      <w:r>
        <w:tab/>
      </w:r>
      <w:r>
        <w:rPr>
          <w:rStyle w:val="FootnoteReference"/>
        </w:rPr>
        <w:footnoteRef/>
      </w:r>
      <w:r>
        <w:tab/>
        <w:t xml:space="preserve">Doel 8.6 van de duurzame-ontwikkelingsdoelstellingen betreft “jeugd” (adolescenten tussen 15 en 24 jaar). Zie Resolutie 70/1 van de Algemene Vergadering. </w:t>
      </w:r>
    </w:p>
  </w:footnote>
  <w:footnote w:id="35">
    <w:p w14:paraId="446A0911" w14:textId="77777777" w:rsidR="00646AD7" w:rsidRPr="009F6A13" w:rsidRDefault="00646AD7" w:rsidP="00646AD7">
      <w:pPr>
        <w:pStyle w:val="FootnoteText"/>
        <w:widowControl w:val="0"/>
        <w:tabs>
          <w:tab w:val="clear" w:pos="1021"/>
          <w:tab w:val="right" w:pos="1020"/>
        </w:tabs>
      </w:pPr>
      <w:r>
        <w:tab/>
      </w:r>
      <w:r>
        <w:rPr>
          <w:rStyle w:val="FootnoteReference"/>
        </w:rPr>
        <w:footnoteRef/>
      </w:r>
      <w:r>
        <w:tab/>
        <w:t>De term 'eenentwintigste-eeuwse</w:t>
      </w:r>
      <w:bookmarkStart w:id="21" w:name="_GoBack"/>
      <w:bookmarkEnd w:id="21"/>
      <w:r>
        <w:t xml:space="preserve"> vaardigheden' verwijst naar een breed scala aan kennis, vaardigheden, werkgewoontes en karaktereigenschappen die door opvoeders, schoolhervormers, hoogleraren, werkgevers en anderen worden beschouwd als cruciaal voor succes in de wereld van vandaag, vooral in universitaire- programma's en hedendaagse loopbanen en werkplekken.</w:t>
      </w:r>
    </w:p>
  </w:footnote>
  <w:footnote w:id="36">
    <w:p w14:paraId="32EAB222" w14:textId="149C22AA" w:rsidR="00646AD7" w:rsidRPr="009F6A13" w:rsidRDefault="00646AD7" w:rsidP="00646AD7">
      <w:pPr>
        <w:pStyle w:val="FootnoteText"/>
        <w:widowControl w:val="0"/>
        <w:tabs>
          <w:tab w:val="clear" w:pos="1021"/>
          <w:tab w:val="right" w:pos="1020"/>
        </w:tabs>
        <w:rPr>
          <w:sz w:val="16"/>
          <w:szCs w:val="16"/>
        </w:rPr>
      </w:pPr>
      <w:r>
        <w:tab/>
      </w:r>
      <w:r>
        <w:rPr>
          <w:rStyle w:val="FootnoteReference"/>
        </w:rPr>
        <w:footnoteRef/>
      </w:r>
      <w:r>
        <w:rPr>
          <w:sz w:val="16"/>
          <w:szCs w:val="16"/>
        </w:rPr>
        <w:tab/>
      </w:r>
      <w:r>
        <w:t>Zie www.ohchr.org/Documents/HRBodies/CRC/Discussions/2012/DGD2012ReportAndRecommendations.pdf.</w:t>
      </w:r>
    </w:p>
  </w:footnote>
  <w:footnote w:id="37">
    <w:p w14:paraId="70C09DD6" w14:textId="77777777" w:rsidR="00646AD7" w:rsidRPr="009F6A13" w:rsidRDefault="00646AD7" w:rsidP="00646AD7">
      <w:pPr>
        <w:pStyle w:val="FootnoteText"/>
        <w:widowControl w:val="0"/>
        <w:tabs>
          <w:tab w:val="clear" w:pos="1021"/>
          <w:tab w:val="right" w:pos="1020"/>
        </w:tabs>
      </w:pPr>
      <w:r>
        <w:tab/>
      </w:r>
      <w:r>
        <w:rPr>
          <w:rStyle w:val="FootnoteReference"/>
        </w:rPr>
        <w:footnoteRef/>
      </w:r>
      <w:r w:rsidRPr="00D330FB">
        <w:rPr>
          <w:lang w:val="en-US"/>
        </w:rPr>
        <w:tab/>
        <w:t xml:space="preserve">Zie Fundamental Rights Agency, “Apprehension of migrants in an irregular situation – fundamental rights considerations”, 9 oktober 2012. </w:t>
      </w:r>
      <w:r>
        <w:t xml:space="preserve">Te vinden op </w:t>
      </w:r>
      <w:hyperlink r:id="rId2" w:history="1">
        <w:r>
          <w:t>https://fra.europa.eu/sites/default/files/fra-2013-apprehension-migrants-irregular-situation_en.pdf</w:t>
        </w:r>
      </w:hyperlink>
      <w:r>
        <w:t xml:space="preserve">. </w:t>
      </w:r>
    </w:p>
  </w:footnote>
  <w:footnote w:id="38">
    <w:p w14:paraId="287412A1" w14:textId="77777777" w:rsidR="00646AD7" w:rsidRPr="009F6A13" w:rsidRDefault="00646AD7" w:rsidP="00BB05B8">
      <w:pPr>
        <w:pStyle w:val="FootnoteText"/>
        <w:widowControl w:val="0"/>
        <w:tabs>
          <w:tab w:val="clear" w:pos="1021"/>
          <w:tab w:val="right" w:pos="1020"/>
        </w:tabs>
      </w:pPr>
      <w:r>
        <w:tab/>
      </w:r>
      <w:r>
        <w:rPr>
          <w:rStyle w:val="FootnoteReference"/>
        </w:rPr>
        <w:footnoteRef/>
      </w:r>
      <w:r>
        <w:tab/>
        <w:t xml:space="preserve">Zie voetnoot 35 hierboven. </w:t>
      </w:r>
    </w:p>
  </w:footnote>
  <w:footnote w:id="39">
    <w:p w14:paraId="07FB75F2" w14:textId="77777777" w:rsidR="00646AD7" w:rsidRPr="009F6A13" w:rsidRDefault="00646AD7" w:rsidP="00646AD7">
      <w:pPr>
        <w:pStyle w:val="FootnoteText"/>
        <w:widowControl w:val="0"/>
        <w:tabs>
          <w:tab w:val="clear" w:pos="1021"/>
          <w:tab w:val="right" w:pos="1020"/>
        </w:tabs>
      </w:pPr>
      <w:r>
        <w:tab/>
      </w:r>
      <w:r>
        <w:rPr>
          <w:rStyle w:val="FootnoteReference"/>
        </w:rPr>
        <w:footnoteRef/>
      </w:r>
      <w:r>
        <w:tab/>
        <w:t>Zie General Comment nr. 6 (2005) over de behandeling van niet-begeleide en alleenstaande kinderen buiten hun land van herkomst.</w:t>
      </w:r>
    </w:p>
  </w:footnote>
  <w:footnote w:id="40">
    <w:p w14:paraId="54E87504" w14:textId="77777777" w:rsidR="00646AD7" w:rsidRPr="003C78BC" w:rsidRDefault="00646AD7" w:rsidP="00646AD7">
      <w:pPr>
        <w:pStyle w:val="FootnoteText"/>
        <w:widowControl w:val="0"/>
        <w:tabs>
          <w:tab w:val="clear" w:pos="1021"/>
          <w:tab w:val="right" w:pos="1020"/>
        </w:tabs>
      </w:pPr>
      <w:r>
        <w:tab/>
      </w:r>
      <w:r>
        <w:rPr>
          <w:rStyle w:val="FootnoteReference"/>
        </w:rPr>
        <w:footnoteRef/>
      </w:r>
      <w:r>
        <w:tab/>
        <w:t>Zie A/68/267, par. 81-87.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8E669" w14:textId="77777777" w:rsidR="00D03817" w:rsidRPr="00D03817" w:rsidRDefault="00D03817" w:rsidP="00D03817">
    <w:pPr>
      <w:pStyle w:val="Header"/>
    </w:pPr>
    <w:r>
      <w:t>CRC/C/GC/20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6E496" w14:textId="77777777" w:rsidR="00D03817" w:rsidRPr="00D03817" w:rsidRDefault="00D03817" w:rsidP="00D03817">
    <w:pPr>
      <w:pStyle w:val="Header"/>
      <w:jc w:val="right"/>
    </w:pPr>
    <w:r>
      <w:t>CRC/C/GC/20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5880B" w14:textId="77777777" w:rsidR="004638D2" w:rsidRDefault="004638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567"/>
  <w:hyphenationZone w:val="425"/>
  <w:evenAndOddHeaders/>
  <w:characterSpacingControl w:val="doNotCompress"/>
  <w:hdrShapeDefaults>
    <o:shapedefaults v:ext="edit" spidmax="6145"/>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0BD"/>
    <w:rsid w:val="000205F3"/>
    <w:rsid w:val="000416EF"/>
    <w:rsid w:val="00046E92"/>
    <w:rsid w:val="000508A7"/>
    <w:rsid w:val="00061618"/>
    <w:rsid w:val="00080F88"/>
    <w:rsid w:val="00081D75"/>
    <w:rsid w:val="000873E8"/>
    <w:rsid w:val="000A262B"/>
    <w:rsid w:val="00167620"/>
    <w:rsid w:val="001B3D5C"/>
    <w:rsid w:val="00217A88"/>
    <w:rsid w:val="002263E0"/>
    <w:rsid w:val="00226ADD"/>
    <w:rsid w:val="002300DA"/>
    <w:rsid w:val="00247E2C"/>
    <w:rsid w:val="002A09CA"/>
    <w:rsid w:val="002A7713"/>
    <w:rsid w:val="002D6C53"/>
    <w:rsid w:val="002F5595"/>
    <w:rsid w:val="00334F6A"/>
    <w:rsid w:val="00342AC8"/>
    <w:rsid w:val="003522C2"/>
    <w:rsid w:val="00363326"/>
    <w:rsid w:val="003B4550"/>
    <w:rsid w:val="00415AF4"/>
    <w:rsid w:val="00442635"/>
    <w:rsid w:val="00451CEB"/>
    <w:rsid w:val="00461253"/>
    <w:rsid w:val="004638D2"/>
    <w:rsid w:val="004B45FD"/>
    <w:rsid w:val="004C2CFB"/>
    <w:rsid w:val="004F56BB"/>
    <w:rsid w:val="005042C2"/>
    <w:rsid w:val="00546E62"/>
    <w:rsid w:val="00584D47"/>
    <w:rsid w:val="005F62BA"/>
    <w:rsid w:val="00610A59"/>
    <w:rsid w:val="006463CD"/>
    <w:rsid w:val="00646AD7"/>
    <w:rsid w:val="00671529"/>
    <w:rsid w:val="006D2C7D"/>
    <w:rsid w:val="006F0959"/>
    <w:rsid w:val="007268F9"/>
    <w:rsid w:val="0074056A"/>
    <w:rsid w:val="007C52B0"/>
    <w:rsid w:val="007C64E7"/>
    <w:rsid w:val="007C7136"/>
    <w:rsid w:val="007E6A26"/>
    <w:rsid w:val="008215FB"/>
    <w:rsid w:val="008648B8"/>
    <w:rsid w:val="0086553E"/>
    <w:rsid w:val="008A5A6A"/>
    <w:rsid w:val="008E2B25"/>
    <w:rsid w:val="008E3772"/>
    <w:rsid w:val="008F2223"/>
    <w:rsid w:val="008F2A2E"/>
    <w:rsid w:val="0091066F"/>
    <w:rsid w:val="00922F0A"/>
    <w:rsid w:val="00926745"/>
    <w:rsid w:val="009411B4"/>
    <w:rsid w:val="009436B5"/>
    <w:rsid w:val="009473D6"/>
    <w:rsid w:val="009530BD"/>
    <w:rsid w:val="00996C80"/>
    <w:rsid w:val="009D0139"/>
    <w:rsid w:val="009E4A0D"/>
    <w:rsid w:val="009E76E8"/>
    <w:rsid w:val="009F5CDC"/>
    <w:rsid w:val="00A2704A"/>
    <w:rsid w:val="00A775CF"/>
    <w:rsid w:val="00A85EEC"/>
    <w:rsid w:val="00A9548D"/>
    <w:rsid w:val="00B06045"/>
    <w:rsid w:val="00B74EC1"/>
    <w:rsid w:val="00B90670"/>
    <w:rsid w:val="00BB05B8"/>
    <w:rsid w:val="00BC19A9"/>
    <w:rsid w:val="00C073FD"/>
    <w:rsid w:val="00C35878"/>
    <w:rsid w:val="00C35A27"/>
    <w:rsid w:val="00C47A5E"/>
    <w:rsid w:val="00C60504"/>
    <w:rsid w:val="00C924EC"/>
    <w:rsid w:val="00CD0365"/>
    <w:rsid w:val="00CE765D"/>
    <w:rsid w:val="00D034BF"/>
    <w:rsid w:val="00D03817"/>
    <w:rsid w:val="00D330FB"/>
    <w:rsid w:val="00D8466A"/>
    <w:rsid w:val="00E02C2B"/>
    <w:rsid w:val="00E543F6"/>
    <w:rsid w:val="00ED6C48"/>
    <w:rsid w:val="00EF3CCB"/>
    <w:rsid w:val="00EF5C0B"/>
    <w:rsid w:val="00EF5F5E"/>
    <w:rsid w:val="00F005B9"/>
    <w:rsid w:val="00F444E5"/>
    <w:rsid w:val="00F65F5D"/>
    <w:rsid w:val="00F86A3A"/>
    <w:rsid w:val="00F93C73"/>
    <w:rsid w:val="00FD095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C79C6D"/>
  <w15:docId w15:val="{D78DAFF9-F197-431B-B4E9-4228AD09C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nl-NL"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959"/>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semiHidden/>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rFonts w:eastAsia="SimSun"/>
      <w:b/>
      <w:sz w:val="40"/>
      <w:lang w:eastAsia="zh-CN"/>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8A5A6A"/>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8A5A6A"/>
    <w:rPr>
      <w:rFonts w:ascii="Times New Roman" w:hAnsi="Times New Roman" w:cs="Times New Roman"/>
      <w:sz w:val="18"/>
      <w:szCs w:val="20"/>
    </w:rPr>
  </w:style>
  <w:style w:type="paragraph" w:styleId="EndnoteText">
    <w:name w:val="endnote text"/>
    <w:aliases w:val="2_G"/>
    <w:basedOn w:val="FootnoteText"/>
    <w:link w:val="EndnoteTextChar"/>
    <w:uiPriority w:val="99"/>
    <w:rsid w:val="007268F9"/>
  </w:style>
  <w:style w:type="character" w:customStyle="1" w:styleId="EndnoteTextChar">
    <w:name w:val="Endnote Text Char"/>
    <w:aliases w:val="2_G Char"/>
    <w:basedOn w:val="DefaultParagraphFont"/>
    <w:link w:val="EndnoteText"/>
    <w:uiPriority w:val="99"/>
    <w:rsid w:val="007268F9"/>
    <w:rPr>
      <w:rFonts w:ascii="Times New Roman" w:eastAsia="SimSun" w:hAnsi="Times New Roman" w:cs="Times New Roman"/>
      <w:sz w:val="18"/>
      <w:szCs w:val="20"/>
    </w:rPr>
  </w:style>
  <w:style w:type="character" w:styleId="FootnoteReference">
    <w:name w:val="footnote reference"/>
    <w:aliases w:val="4_G"/>
    <w:rsid w:val="009473D6"/>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6F0959"/>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095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959"/>
    <w:rPr>
      <w:rFonts w:ascii="Tahoma" w:eastAsia="Times New Roman" w:hAnsi="Tahoma" w:cs="Tahoma"/>
      <w:sz w:val="16"/>
      <w:szCs w:val="16"/>
      <w:lang w:eastAsia="en-US"/>
    </w:rPr>
  </w:style>
  <w:style w:type="paragraph" w:styleId="TOC1">
    <w:name w:val="toc 1"/>
    <w:basedOn w:val="Normal"/>
    <w:next w:val="Normal"/>
    <w:autoRedefine/>
    <w:uiPriority w:val="39"/>
    <w:unhideWhenUsed/>
    <w:rsid w:val="00C47A5E"/>
    <w:pPr>
      <w:spacing w:after="100"/>
    </w:pPr>
  </w:style>
  <w:style w:type="paragraph" w:styleId="TOC2">
    <w:name w:val="toc 2"/>
    <w:basedOn w:val="Normal"/>
    <w:next w:val="Normal"/>
    <w:autoRedefine/>
    <w:uiPriority w:val="39"/>
    <w:unhideWhenUsed/>
    <w:rsid w:val="00C47A5E"/>
    <w:pPr>
      <w:spacing w:after="100"/>
      <w:ind w:left="200"/>
    </w:pPr>
  </w:style>
  <w:style w:type="character" w:styleId="Hyperlink">
    <w:name w:val="Hyperlink"/>
    <w:basedOn w:val="DefaultParagraphFont"/>
    <w:uiPriority w:val="99"/>
    <w:unhideWhenUsed/>
    <w:rsid w:val="00C47A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32714">
      <w:bodyDiv w:val="1"/>
      <w:marLeft w:val="0"/>
      <w:marRight w:val="0"/>
      <w:marTop w:val="0"/>
      <w:marBottom w:val="0"/>
      <w:divBdr>
        <w:top w:val="none" w:sz="0" w:space="0" w:color="auto"/>
        <w:left w:val="none" w:sz="0" w:space="0" w:color="auto"/>
        <w:bottom w:val="none" w:sz="0" w:space="0" w:color="auto"/>
        <w:right w:val="none" w:sz="0" w:space="0" w:color="auto"/>
      </w:divBdr>
    </w:div>
    <w:div w:id="93719991">
      <w:bodyDiv w:val="1"/>
      <w:marLeft w:val="0"/>
      <w:marRight w:val="0"/>
      <w:marTop w:val="0"/>
      <w:marBottom w:val="0"/>
      <w:divBdr>
        <w:top w:val="none" w:sz="0" w:space="0" w:color="auto"/>
        <w:left w:val="none" w:sz="0" w:space="0" w:color="auto"/>
        <w:bottom w:val="none" w:sz="0" w:space="0" w:color="auto"/>
        <w:right w:val="none" w:sz="0" w:space="0" w:color="auto"/>
      </w:divBdr>
    </w:div>
    <w:div w:id="188881723">
      <w:bodyDiv w:val="1"/>
      <w:marLeft w:val="0"/>
      <w:marRight w:val="0"/>
      <w:marTop w:val="0"/>
      <w:marBottom w:val="0"/>
      <w:divBdr>
        <w:top w:val="none" w:sz="0" w:space="0" w:color="auto"/>
        <w:left w:val="none" w:sz="0" w:space="0" w:color="auto"/>
        <w:bottom w:val="none" w:sz="0" w:space="0" w:color="auto"/>
        <w:right w:val="none" w:sz="0" w:space="0" w:color="auto"/>
      </w:divBdr>
    </w:div>
    <w:div w:id="253512689">
      <w:bodyDiv w:val="1"/>
      <w:marLeft w:val="0"/>
      <w:marRight w:val="0"/>
      <w:marTop w:val="0"/>
      <w:marBottom w:val="0"/>
      <w:divBdr>
        <w:top w:val="none" w:sz="0" w:space="0" w:color="auto"/>
        <w:left w:val="none" w:sz="0" w:space="0" w:color="auto"/>
        <w:bottom w:val="none" w:sz="0" w:space="0" w:color="auto"/>
        <w:right w:val="none" w:sz="0" w:space="0" w:color="auto"/>
      </w:divBdr>
    </w:div>
    <w:div w:id="261685885">
      <w:bodyDiv w:val="1"/>
      <w:marLeft w:val="0"/>
      <w:marRight w:val="0"/>
      <w:marTop w:val="0"/>
      <w:marBottom w:val="0"/>
      <w:divBdr>
        <w:top w:val="none" w:sz="0" w:space="0" w:color="auto"/>
        <w:left w:val="none" w:sz="0" w:space="0" w:color="auto"/>
        <w:bottom w:val="none" w:sz="0" w:space="0" w:color="auto"/>
        <w:right w:val="none" w:sz="0" w:space="0" w:color="auto"/>
      </w:divBdr>
    </w:div>
    <w:div w:id="343095552">
      <w:bodyDiv w:val="1"/>
      <w:marLeft w:val="0"/>
      <w:marRight w:val="0"/>
      <w:marTop w:val="0"/>
      <w:marBottom w:val="0"/>
      <w:divBdr>
        <w:top w:val="none" w:sz="0" w:space="0" w:color="auto"/>
        <w:left w:val="none" w:sz="0" w:space="0" w:color="auto"/>
        <w:bottom w:val="none" w:sz="0" w:space="0" w:color="auto"/>
        <w:right w:val="none" w:sz="0" w:space="0" w:color="auto"/>
      </w:divBdr>
    </w:div>
    <w:div w:id="375932743">
      <w:bodyDiv w:val="1"/>
      <w:marLeft w:val="0"/>
      <w:marRight w:val="0"/>
      <w:marTop w:val="0"/>
      <w:marBottom w:val="0"/>
      <w:divBdr>
        <w:top w:val="none" w:sz="0" w:space="0" w:color="auto"/>
        <w:left w:val="none" w:sz="0" w:space="0" w:color="auto"/>
        <w:bottom w:val="none" w:sz="0" w:space="0" w:color="auto"/>
        <w:right w:val="none" w:sz="0" w:space="0" w:color="auto"/>
      </w:divBdr>
    </w:div>
    <w:div w:id="382757796">
      <w:bodyDiv w:val="1"/>
      <w:marLeft w:val="0"/>
      <w:marRight w:val="0"/>
      <w:marTop w:val="0"/>
      <w:marBottom w:val="0"/>
      <w:divBdr>
        <w:top w:val="none" w:sz="0" w:space="0" w:color="auto"/>
        <w:left w:val="none" w:sz="0" w:space="0" w:color="auto"/>
        <w:bottom w:val="none" w:sz="0" w:space="0" w:color="auto"/>
        <w:right w:val="none" w:sz="0" w:space="0" w:color="auto"/>
      </w:divBdr>
    </w:div>
    <w:div w:id="521208001">
      <w:bodyDiv w:val="1"/>
      <w:marLeft w:val="0"/>
      <w:marRight w:val="0"/>
      <w:marTop w:val="0"/>
      <w:marBottom w:val="0"/>
      <w:divBdr>
        <w:top w:val="none" w:sz="0" w:space="0" w:color="auto"/>
        <w:left w:val="none" w:sz="0" w:space="0" w:color="auto"/>
        <w:bottom w:val="none" w:sz="0" w:space="0" w:color="auto"/>
        <w:right w:val="none" w:sz="0" w:space="0" w:color="auto"/>
      </w:divBdr>
    </w:div>
    <w:div w:id="711461985">
      <w:bodyDiv w:val="1"/>
      <w:marLeft w:val="0"/>
      <w:marRight w:val="0"/>
      <w:marTop w:val="0"/>
      <w:marBottom w:val="0"/>
      <w:divBdr>
        <w:top w:val="none" w:sz="0" w:space="0" w:color="auto"/>
        <w:left w:val="none" w:sz="0" w:space="0" w:color="auto"/>
        <w:bottom w:val="none" w:sz="0" w:space="0" w:color="auto"/>
        <w:right w:val="none" w:sz="0" w:space="0" w:color="auto"/>
      </w:divBdr>
    </w:div>
    <w:div w:id="1144470067">
      <w:bodyDiv w:val="1"/>
      <w:marLeft w:val="0"/>
      <w:marRight w:val="0"/>
      <w:marTop w:val="0"/>
      <w:marBottom w:val="0"/>
      <w:divBdr>
        <w:top w:val="none" w:sz="0" w:space="0" w:color="auto"/>
        <w:left w:val="none" w:sz="0" w:space="0" w:color="auto"/>
        <w:bottom w:val="none" w:sz="0" w:space="0" w:color="auto"/>
        <w:right w:val="none" w:sz="0" w:space="0" w:color="auto"/>
      </w:divBdr>
    </w:div>
    <w:div w:id="1215238894">
      <w:bodyDiv w:val="1"/>
      <w:marLeft w:val="0"/>
      <w:marRight w:val="0"/>
      <w:marTop w:val="0"/>
      <w:marBottom w:val="0"/>
      <w:divBdr>
        <w:top w:val="none" w:sz="0" w:space="0" w:color="auto"/>
        <w:left w:val="none" w:sz="0" w:space="0" w:color="auto"/>
        <w:bottom w:val="none" w:sz="0" w:space="0" w:color="auto"/>
        <w:right w:val="none" w:sz="0" w:space="0" w:color="auto"/>
      </w:divBdr>
    </w:div>
    <w:div w:id="1282221588">
      <w:bodyDiv w:val="1"/>
      <w:marLeft w:val="0"/>
      <w:marRight w:val="0"/>
      <w:marTop w:val="0"/>
      <w:marBottom w:val="0"/>
      <w:divBdr>
        <w:top w:val="none" w:sz="0" w:space="0" w:color="auto"/>
        <w:left w:val="none" w:sz="0" w:space="0" w:color="auto"/>
        <w:bottom w:val="none" w:sz="0" w:space="0" w:color="auto"/>
        <w:right w:val="none" w:sz="0" w:space="0" w:color="auto"/>
      </w:divBdr>
    </w:div>
    <w:div w:id="1451169615">
      <w:bodyDiv w:val="1"/>
      <w:marLeft w:val="0"/>
      <w:marRight w:val="0"/>
      <w:marTop w:val="0"/>
      <w:marBottom w:val="0"/>
      <w:divBdr>
        <w:top w:val="none" w:sz="0" w:space="0" w:color="auto"/>
        <w:left w:val="none" w:sz="0" w:space="0" w:color="auto"/>
        <w:bottom w:val="none" w:sz="0" w:space="0" w:color="auto"/>
        <w:right w:val="none" w:sz="0" w:space="0" w:color="auto"/>
      </w:divBdr>
    </w:div>
    <w:div w:id="1496842376">
      <w:bodyDiv w:val="1"/>
      <w:marLeft w:val="0"/>
      <w:marRight w:val="0"/>
      <w:marTop w:val="0"/>
      <w:marBottom w:val="0"/>
      <w:divBdr>
        <w:top w:val="none" w:sz="0" w:space="0" w:color="auto"/>
        <w:left w:val="none" w:sz="0" w:space="0" w:color="auto"/>
        <w:bottom w:val="none" w:sz="0" w:space="0" w:color="auto"/>
        <w:right w:val="none" w:sz="0" w:space="0" w:color="auto"/>
      </w:divBdr>
    </w:div>
    <w:div w:id="1816677977">
      <w:bodyDiv w:val="1"/>
      <w:marLeft w:val="0"/>
      <w:marRight w:val="0"/>
      <w:marTop w:val="0"/>
      <w:marBottom w:val="0"/>
      <w:divBdr>
        <w:top w:val="none" w:sz="0" w:space="0" w:color="auto"/>
        <w:left w:val="none" w:sz="0" w:space="0" w:color="auto"/>
        <w:bottom w:val="none" w:sz="0" w:space="0" w:color="auto"/>
        <w:right w:val="none" w:sz="0" w:space="0" w:color="auto"/>
      </w:divBdr>
    </w:div>
    <w:div w:id="1910072539">
      <w:bodyDiv w:val="1"/>
      <w:marLeft w:val="0"/>
      <w:marRight w:val="0"/>
      <w:marTop w:val="0"/>
      <w:marBottom w:val="0"/>
      <w:divBdr>
        <w:top w:val="none" w:sz="0" w:space="0" w:color="auto"/>
        <w:left w:val="none" w:sz="0" w:space="0" w:color="auto"/>
        <w:bottom w:val="none" w:sz="0" w:space="0" w:color="auto"/>
        <w:right w:val="none" w:sz="0" w:space="0" w:color="auto"/>
      </w:divBdr>
    </w:div>
    <w:div w:id="2121142206">
      <w:bodyDiv w:val="1"/>
      <w:marLeft w:val="0"/>
      <w:marRight w:val="0"/>
      <w:marTop w:val="0"/>
      <w:marBottom w:val="0"/>
      <w:divBdr>
        <w:top w:val="none" w:sz="0" w:space="0" w:color="auto"/>
        <w:left w:val="none" w:sz="0" w:space="0" w:color="auto"/>
        <w:bottom w:val="none" w:sz="0" w:space="0" w:color="auto"/>
        <w:right w:val="none" w:sz="0" w:space="0" w:color="auto"/>
      </w:divBdr>
    </w:div>
    <w:div w:id="212653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2" Type="http://schemas.openxmlformats.org/officeDocument/2006/relationships/hyperlink" Target="https://fra.europa.eu/sites/default/files/fra-2013-apprehension-migrants-irregular-situation_en.pdf" TargetMode="External"/><Relationship Id="rId1" Type="http://schemas.openxmlformats.org/officeDocument/2006/relationships/hyperlink" Target="http://apps.who.int/iris/bitstream/10665/112750/1/WHO_FWC_MCA_14.05_eng.pdf?ua=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C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FAB31-67FF-4524-A4AA-E5EF5F71A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CRC.dotm</Template>
  <TotalTime>0</TotalTime>
  <Pages>26</Pages>
  <Words>12938</Words>
  <Characters>71165</Characters>
  <Application>Microsoft Office Word</Application>
  <DocSecurity>0</DocSecurity>
  <Lines>593</Lines>
  <Paragraphs>167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1621563</vt:lpstr>
      <vt:lpstr>1621563</vt:lpstr>
    </vt:vector>
  </TitlesOfParts>
  <Company>DCM</Company>
  <LinksUpToDate>false</LinksUpToDate>
  <CharactersWithSpaces>83936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1621563</dc:title>
  <dc:subject>CRC/C/GC/20*</dc:subject>
  <dc:creator>PDF ENG</dc:creator>
  <cp:keywords/>
  <dc:description/>
  <cp:lastModifiedBy>Loes Hartman</cp:lastModifiedBy>
  <cp:revision>6</cp:revision>
  <dcterms:created xsi:type="dcterms:W3CDTF">2019-03-13T11:14:00Z</dcterms:created>
  <dcterms:modified xsi:type="dcterms:W3CDTF">2019-10-31T23:00:00Z</dcterms:modified>
</cp:coreProperties>
</file>