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C76659" w14:paraId="58B532BF" w14:textId="77777777">
        <w:tc>
          <w:tcPr>
            <w:tcW w:w="1560" w:type="dxa"/>
            <w:tcBorders>
              <w:top w:val="nil"/>
              <w:left w:val="nil"/>
              <w:bottom w:val="single" w:sz="6" w:space="0" w:color="auto"/>
              <w:right w:val="nil"/>
            </w:tcBorders>
          </w:tcPr>
          <w:p w14:paraId="45C2634A" w14:textId="18CB52BD" w:rsidR="00C76659" w:rsidRDefault="0002466B">
            <w:pPr>
              <w:spacing w:before="240" w:after="0"/>
              <w:rPr>
                <w:rFonts w:ascii="Univers" w:hAnsi="Univers"/>
                <w:b/>
                <w:sz w:val="16"/>
              </w:rPr>
            </w:pPr>
            <w:r>
              <w:rPr>
                <w:rFonts w:ascii="Univers" w:hAnsi="Univers"/>
                <w:b/>
                <w:sz w:val="28"/>
              </w:rPr>
              <w:t>VERENIGDE NATIES</w:t>
            </w:r>
          </w:p>
        </w:tc>
        <w:tc>
          <w:tcPr>
            <w:tcW w:w="4536" w:type="dxa"/>
            <w:tcBorders>
              <w:top w:val="nil"/>
              <w:left w:val="nil"/>
              <w:bottom w:val="single" w:sz="6" w:space="0" w:color="auto"/>
              <w:right w:val="nil"/>
            </w:tcBorders>
          </w:tcPr>
          <w:p w14:paraId="4D67DC55" w14:textId="77777777" w:rsidR="00C76659" w:rsidRDefault="00C76659"/>
        </w:tc>
        <w:tc>
          <w:tcPr>
            <w:tcW w:w="3366" w:type="dxa"/>
            <w:tcBorders>
              <w:top w:val="nil"/>
              <w:left w:val="nil"/>
              <w:bottom w:val="single" w:sz="6" w:space="0" w:color="auto"/>
              <w:right w:val="nil"/>
            </w:tcBorders>
            <w:vAlign w:val="bottom"/>
          </w:tcPr>
          <w:p w14:paraId="247C898A" w14:textId="77777777" w:rsidR="00C76659" w:rsidRDefault="0002466B">
            <w:pPr>
              <w:jc w:val="right"/>
              <w:rPr>
                <w:rFonts w:ascii="Univers" w:hAnsi="Univers"/>
                <w:b/>
                <w:sz w:val="72"/>
              </w:rPr>
            </w:pPr>
            <w:r>
              <w:rPr>
                <w:rFonts w:ascii="Univers" w:hAnsi="Univers"/>
                <w:b/>
                <w:sz w:val="72"/>
              </w:rPr>
              <w:t>VRK</w:t>
            </w:r>
          </w:p>
        </w:tc>
      </w:tr>
      <w:bookmarkStart w:id="0" w:name="_MON_1114341189"/>
      <w:bookmarkEnd w:id="0"/>
      <w:bookmarkStart w:id="1" w:name="_MON_992683145"/>
      <w:bookmarkEnd w:id="1"/>
      <w:tr w:rsidR="00C76659" w14:paraId="51A1E9BF" w14:textId="77777777">
        <w:tc>
          <w:tcPr>
            <w:tcW w:w="1560" w:type="dxa"/>
            <w:tcBorders>
              <w:top w:val="single" w:sz="6" w:space="0" w:color="auto"/>
              <w:left w:val="nil"/>
              <w:bottom w:val="single" w:sz="36" w:space="0" w:color="auto"/>
              <w:right w:val="nil"/>
            </w:tcBorders>
          </w:tcPr>
          <w:p w14:paraId="3A68AB65" w14:textId="77777777" w:rsidR="00C76659" w:rsidRDefault="0002466B">
            <w:r>
              <w:object w:dxaOrig="1441" w:dyaOrig="1340" w14:anchorId="2F037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fillcolor="window">
                  <v:imagedata r:id="rId7" o:title=""/>
                </v:shape>
                <o:OLEObject Type="Embed" ProgID="Word.Picture.8" ShapeID="_x0000_i1025" DrawAspect="Content" ObjectID="_1635239624" r:id="rId8"/>
              </w:object>
            </w:r>
          </w:p>
        </w:tc>
        <w:tc>
          <w:tcPr>
            <w:tcW w:w="4536" w:type="dxa"/>
            <w:tcBorders>
              <w:top w:val="single" w:sz="6" w:space="0" w:color="auto"/>
              <w:left w:val="nil"/>
              <w:bottom w:val="single" w:sz="36" w:space="0" w:color="auto"/>
              <w:right w:val="nil"/>
            </w:tcBorders>
          </w:tcPr>
          <w:p w14:paraId="5C840BA5" w14:textId="39D7604E" w:rsidR="00C76659" w:rsidRDefault="0002466B">
            <w:pPr>
              <w:spacing w:before="360" w:after="0"/>
              <w:rPr>
                <w:rFonts w:ascii="Univers" w:hAnsi="Univers"/>
                <w:b/>
                <w:sz w:val="36"/>
              </w:rPr>
            </w:pPr>
            <w:r>
              <w:rPr>
                <w:rFonts w:ascii="Univers" w:hAnsi="Univers"/>
                <w:b/>
                <w:sz w:val="36"/>
              </w:rPr>
              <w:t>Verdrag inzake de rechten van het kind</w:t>
            </w:r>
          </w:p>
          <w:p w14:paraId="50BF9D7F" w14:textId="77777777" w:rsidR="00C76659" w:rsidRDefault="00C76659">
            <w:pPr>
              <w:rPr>
                <w:rFonts w:ascii="Univers (W1)" w:hAnsi="Univers (W1)"/>
                <w:sz w:val="32"/>
              </w:rPr>
            </w:pPr>
          </w:p>
        </w:tc>
        <w:tc>
          <w:tcPr>
            <w:tcW w:w="3366" w:type="dxa"/>
            <w:tcBorders>
              <w:top w:val="single" w:sz="6" w:space="0" w:color="auto"/>
              <w:left w:val="nil"/>
              <w:bottom w:val="single" w:sz="36" w:space="0" w:color="auto"/>
              <w:right w:val="nil"/>
            </w:tcBorders>
          </w:tcPr>
          <w:p w14:paraId="6209E1D5" w14:textId="545D7A1B" w:rsidR="00C76659" w:rsidRDefault="0002466B">
            <w:pPr>
              <w:spacing w:before="480"/>
            </w:pPr>
            <w:r>
              <w:t xml:space="preserve">Verspr. </w:t>
            </w:r>
            <w:fldSimple w:instr=" FILLIN Verspr. \* MERGEFORMAT ">
              <w:r>
                <w:t>ALGEMEEN</w:t>
              </w:r>
            </w:fldSimple>
          </w:p>
          <w:p w14:paraId="205AB5B7" w14:textId="77777777" w:rsidR="0002466B" w:rsidRDefault="0002466B">
            <w:fldSimple w:instr=" FILLIN Symbool \* MERGEFORMAT ">
              <w:r>
                <w:t>CRC/GC/2003/5</w:t>
              </w:r>
            </w:fldSimple>
          </w:p>
          <w:p w14:paraId="30299A45" w14:textId="52F9F962" w:rsidR="00C76659" w:rsidRDefault="0002466B">
            <w:fldSimple w:instr=" FILLIN Datum \* MERGEFORMAT ">
              <w:r>
                <w:t>27 november 2003</w:t>
              </w:r>
            </w:fldSimple>
          </w:p>
          <w:p w14:paraId="47102680" w14:textId="77777777" w:rsidR="00C76659" w:rsidRDefault="0002466B">
            <w:r>
              <w:t xml:space="preserve">Origineel: </w:t>
            </w:r>
            <w:fldSimple w:instr=" FILLIN &quot;Orig. Taal&quot; \* MERGEFORMAT ">
              <w:r>
                <w:t>ENGELS</w:t>
              </w:r>
            </w:fldSimple>
          </w:p>
        </w:tc>
      </w:tr>
    </w:tbl>
    <w:p w14:paraId="7DA45751" w14:textId="77777777" w:rsidR="0002466B" w:rsidRDefault="0002466B">
      <w:r>
        <w:br/>
        <w:t>COMITÉ VOOR DE RECHTEN VAN HET KIND</w:t>
      </w:r>
    </w:p>
    <w:p w14:paraId="0490E699" w14:textId="24B6C287" w:rsidR="0002466B" w:rsidRDefault="0002466B">
      <w:r>
        <w:t>Vierendertigste zitting</w:t>
      </w:r>
    </w:p>
    <w:p w14:paraId="4B9117C8" w14:textId="45EB2A7D" w:rsidR="00C76659" w:rsidRDefault="0002466B">
      <w:r>
        <w:t>19 september - 3 oktober 2003</w:t>
      </w:r>
    </w:p>
    <w:p w14:paraId="184A33DE" w14:textId="77777777" w:rsidR="00C76659" w:rsidRDefault="00C76659"/>
    <w:p w14:paraId="71B487D0" w14:textId="77777777" w:rsidR="00C76659" w:rsidRDefault="0002466B">
      <w:pPr>
        <w:pStyle w:val="Heading1"/>
      </w:pPr>
      <w:r>
        <w:t>GENERAL COMMENT nr. 5 (2003)</w:t>
      </w:r>
    </w:p>
    <w:p w14:paraId="35CB314C" w14:textId="12517183" w:rsidR="00C76659" w:rsidRDefault="0002466B">
      <w:pPr>
        <w:pStyle w:val="Heading2"/>
      </w:pPr>
      <w:r>
        <w:t>Algemene uitvoeringsmaatregelen van het Verdrag inzake de rechten van het kind (art. 4, 42 en 44, par. 6)</w:t>
      </w:r>
    </w:p>
    <w:p w14:paraId="4F2EF877" w14:textId="77777777" w:rsidR="00C76659" w:rsidRDefault="0002466B">
      <w:pPr>
        <w:pStyle w:val="Heading1"/>
      </w:pPr>
      <w:r>
        <w:t>VOORWOORD</w:t>
      </w:r>
    </w:p>
    <w:p w14:paraId="57FECE7C" w14:textId="77777777" w:rsidR="00C76659" w:rsidRDefault="0002466B">
      <w:r>
        <w:tab/>
        <w:t>Het Comité voor de Rechten van het Kind heeft dit General Comment opgesteld om de verplichtingen uiteen te zetten van Staten die partij zijn, om te ontwikkelen wat het Comité “algemene uitvoeringsmaatregelen” heeft genoemd.  De verschillende elementen van het concept zijn complex en het Comité benadrukt dat het waarschijnlijk te zijner tijd gedetailleerdere General Comments over afzonderlijke elementen zal uitbrengen om hier verder op in te gaan.  In General Comment nr. 2 (2002) “De rol van onafhankelijke nationale mensenrechteninstellingen bij de bescherming en bevordering van de rechten van het kind” is al dieper op dit concept ingegaan.</w:t>
      </w:r>
    </w:p>
    <w:p w14:paraId="65446268" w14:textId="77777777" w:rsidR="00C76659" w:rsidRDefault="0002466B">
      <w:pPr>
        <w:pStyle w:val="Heading2"/>
      </w:pPr>
      <w:r>
        <w:t xml:space="preserve"> Artikel 4</w:t>
      </w:r>
    </w:p>
    <w:p w14:paraId="0B801730" w14:textId="77777777" w:rsidR="00C76659" w:rsidRDefault="0002466B">
      <w:pPr>
        <w:ind w:left="720"/>
      </w:pPr>
      <w:r>
        <w:tab/>
        <w:t xml:space="preserve">“Staten die partij zijn nemen de benodigde wetgevende, administratieve en andere maatregelen voor de uitvoering van de in dit Verdrag erkende rechten”.  Met betrekking tot economische, sociale en culturele rechten nemen Staten die partij zijn dergelijke maatregelen door de hen ter beschikking staande middelen zo maximaal mogelijk en waar nodig in het kader van internationale samenwerking te benutten.” </w:t>
      </w:r>
    </w:p>
    <w:p w14:paraId="4C063306" w14:textId="77777777" w:rsidR="00C76659" w:rsidRDefault="0002466B">
      <w:pPr>
        <w:pStyle w:val="Heading1"/>
      </w:pPr>
      <w:r>
        <w:t>I.</w:t>
      </w:r>
      <w:r>
        <w:tab/>
        <w:t>INLEIDING</w:t>
      </w:r>
    </w:p>
    <w:p w14:paraId="24E05BED" w14:textId="145699E6" w:rsidR="00C76659" w:rsidRDefault="0002466B">
      <w:pPr>
        <w:pStyle w:val="ParaNo"/>
        <w:tabs>
          <w:tab w:val="clear" w:pos="360"/>
        </w:tabs>
      </w:pPr>
      <w:r>
        <w:t>De Staat die partij is</w:t>
      </w:r>
      <w:r w:rsidR="00662C8C">
        <w:t>,</w:t>
      </w:r>
      <w:r>
        <w:t xml:space="preserve"> bekrachtigt het Verdrag inzake de rechten van het kind en neemt in het kader van internationaal recht verplichtingen op zich om het uit te voeren.  Uitvoering is het proces waarbij Staten die partij zijn actie ondernemen om te garanderen dat alle rechten in het </w:t>
      </w:r>
      <w:bookmarkStart w:id="2" w:name="_GoBack"/>
      <w:bookmarkEnd w:id="2"/>
      <w:r>
        <w:lastRenderedPageBreak/>
        <w:t>Verdrag voor alle kinderen onder hun rechtsbevoegdheid verwezenlijkt worden.</w:t>
      </w:r>
      <w:r>
        <w:rPr>
          <w:rStyle w:val="EndnoteReference"/>
          <w:lang w:val="en-GB"/>
        </w:rPr>
        <w:endnoteReference w:id="2"/>
      </w:r>
      <w:r>
        <w:t xml:space="preserve">  Artikel 4 vereist dat Staten die partij zijn “alle passende wetgevende, administratieve</w:t>
      </w:r>
    </w:p>
    <w:p w14:paraId="4E335868" w14:textId="77777777" w:rsidR="00C76659" w:rsidRDefault="0002466B">
      <w:pPr>
        <w:spacing w:before="360" w:after="0"/>
      </w:pPr>
      <w:r>
        <w:t>GE.03-45514 (E) 281103</w:t>
      </w:r>
    </w:p>
    <w:p w14:paraId="22D3684C" w14:textId="77777777" w:rsidR="00C76659" w:rsidRDefault="0002466B">
      <w:r>
        <w:t>en andere maatregelen” nemen om de daarin vervatte rechten ten uitvoer te leggen.  Hoewel het de Staat is die de verplichtingen in het kader van het Verdrag op zich neemt, moeten bij de uitvoering van zijn taak - het realiseren van de mensenrechten van kinderen - alle sectoren van de samenleving en natuurlijk ook kinderen zelf hierbij betrokken worden.  Het is van wezenlijk belang dat alle wetgeving in het eigen land geheel in lijn is met het Verdrag en dat de beginselen en bepalingen van het Verdrag direct kunnen worden toegepast en op de juiste wijze ten uitvoer kunnen worden gelegd.  Daarnaast heeft het Comité voor de Rechten van het Kind een breed scala aan maatregelen vastgesteld die benodigd zijn voor een effectieve tenuitvoerlegging, zoals het opzetten van speciale structuren en monitoren, opleiden en andere activiteiten op alle overheids-, parlementaire en gerechtelijke niveaus.</w:t>
      </w:r>
      <w:r>
        <w:rPr>
          <w:rStyle w:val="EndnoteReference"/>
        </w:rPr>
        <w:endnoteReference w:id="3"/>
      </w:r>
    </w:p>
    <w:p w14:paraId="2354EF46" w14:textId="77777777" w:rsidR="00C76659" w:rsidRDefault="0002466B">
      <w:pPr>
        <w:pStyle w:val="ParaNo"/>
        <w:tabs>
          <w:tab w:val="clear" w:pos="360"/>
        </w:tabs>
      </w:pPr>
      <w:r>
        <w:t>Bij zijn periodieke onderzoek van de rapporten van de Staten die partij zijn in het kader van het Verdrag, besteedt het Comité bijzondere aandacht aan wat het "algemene uitvoeringsmaatregelen" noemt.  In zijn concluderende opmerkingen na onderzoek doet het Comité specifieke aanbevelingen met betrekking tot algemene maatregelen.  Het Comité verwacht van de Staten die partij zijn dat deze de in reactie op deze aanbevelingen genomen maatregelen beschrijven in hun volgende periodieke rapport.  De artikelen van het Verdrag zijn volgens de rapportagerichtlijnen van het Comité gerangschikt in clusters,</w:t>
      </w:r>
      <w:r>
        <w:rPr>
          <w:rStyle w:val="EndnoteReference"/>
          <w:lang w:val="en-GB"/>
        </w:rPr>
        <w:endnoteReference w:id="4"/>
      </w:r>
      <w:r>
        <w:t xml:space="preserve"> waarbij de eerste cluster “algemene uitvoeringsmaatregelen” behelst en artikel 4 is gerangschikt bij artikel 42 (de verplichting de inhoud van het Verdrag uitgebreid bij kinderen en volwassenen onder de aandacht te brengen; zie par. 66 hieronder) en artikel 44, par. 6 (de verplichting rapporten overal in de Staat ter inzage te leggen; zie par. 71 hieronder).</w:t>
      </w:r>
    </w:p>
    <w:p w14:paraId="0C6C04BC" w14:textId="77777777" w:rsidR="00C76659" w:rsidRDefault="0002466B">
      <w:pPr>
        <w:pStyle w:val="ParaNo"/>
        <w:tabs>
          <w:tab w:val="clear" w:pos="360"/>
        </w:tabs>
      </w:pPr>
      <w:r>
        <w:t>Naast deze bepalingen worden andere algemene uitvoeringsverplichtingen omschreven in artikel 2:  "De Staten die partij zijn bij dit Verdrag, eerbiedigen en waarborgen de in het Verdrag beschreven rechten voor ieder kind onder hun rechtsbevoegdheid zonder discriminatie van welke aard ook [...]".</w:t>
      </w:r>
    </w:p>
    <w:p w14:paraId="26FE4B88" w14:textId="77777777" w:rsidR="00C76659" w:rsidRDefault="0002466B">
      <w:pPr>
        <w:pStyle w:val="ParaNo"/>
        <w:tabs>
          <w:tab w:val="clear" w:pos="360"/>
        </w:tabs>
      </w:pPr>
      <w:r>
        <w:t>En volgens artikel 3, lid 2 "verbinden de Staten die partij zijn zich ertoe het kind te verzekeren van de bescherming en de zorg die nodig zijn voor zijn of haar welzijn, rekening houdend met de rechten en plichten van zijn of haar ouders, wettige voogden of anderen die wettelijk verantwoordelijk voor het kind zijn, en nemen hiertoe alle passende wettelijke en bestuurlijke maatregelen.”</w:t>
      </w:r>
    </w:p>
    <w:p w14:paraId="04A472D5" w14:textId="77777777" w:rsidR="00C76659" w:rsidRDefault="0002466B">
      <w:pPr>
        <w:pStyle w:val="ParaNo"/>
        <w:tabs>
          <w:tab w:val="clear" w:pos="360"/>
        </w:tabs>
      </w:pPr>
      <w:r>
        <w:t>In de internationale mensenrechtenwetgeving zijn er artikelen vergelijkbaar met artikel 4 van het Verdrag, waarin algemene uitvoeringsverplichtingen zijn vastgelegd, zoals artikel 2 van het Internationaal Verdrag inzake burgerrechten en politieke rechten en artikel 2 van het Internationaal Verdrag inzake economische, sociale en culturele rechten.  Het Comité voor de Rechten van de Mens en het Comité voor Economische, Sociale en Culturele Rechten hebben General Comments met betrekking tot deze bepalingen uitgebracht die moeten worden beschouwd als een aanvulling op het huidige General Comment en die hieronder worden vermeld.</w:t>
      </w:r>
      <w:r>
        <w:rPr>
          <w:rStyle w:val="EndnoteReference"/>
          <w:lang w:val="en-GB"/>
        </w:rPr>
        <w:endnoteReference w:id="5"/>
      </w:r>
    </w:p>
    <w:p w14:paraId="33D6015D" w14:textId="77777777" w:rsidR="00C76659" w:rsidRDefault="0002466B">
      <w:pPr>
        <w:pStyle w:val="ParaNo"/>
        <w:tabs>
          <w:tab w:val="clear" w:pos="360"/>
        </w:tabs>
      </w:pPr>
      <w:r>
        <w:lastRenderedPageBreak/>
        <w:t>Artikel 4, waarin de algemene uitvoeringsverplichtingen van de Staten die partij zijn worden weergegeven, voert in de tweede zin een onderscheid aan tussen burgerrechten en politieke rechten en economische, sociale en culturele rechten:  “Ten aanzien van economische, sociale en culturele rechten nemen Staten die partij zijn deze maatregelen in de ruimste mate waarin de hun ter beschikking staande middelen dit toelaten en, indien nodig, in het kader van internationale samenwerking.”  Er bestaat geen eenvoudige of gezaghebbende verdeling van de mensenrechten in het algemeen of van Verdragsrechten in die twee categorieën.  De rapportagerichtlijnen van het Comité rangschikt artikelen 7, 8, 13-17 en 37a onder "Burgerrechten en burgerlijke vrijheden”, maar geven door de context aan dat het daarbij niet alleen burgerrechten en politieke rechten in het Verdrag betreft.  Het is inderdaad duidelijk dat vele andere artikelen, waaronder artikel 2, 3, 6 en 12 van het Verdrag, elementen bevatten die burgerrechten/politieke rechten vormen, waarmee de onderlinge afhankelijkheid en ondeelbaarheid van alle mensenrechten weerspiegeld wordt.  Het genot van economische, sociale en culturele rechten is onlosmakelijk verweven met het genot van burgerrechten en politieke rechten.  Zoals in paragraaf 25 hieronder wordt aangegeven, is het Comité van mening dat economische, sociale en culturele rechten, evenals burgerrechten en politieke rechten, als te rechtvaardigen gezien dienen te worden.</w:t>
      </w:r>
    </w:p>
    <w:p w14:paraId="33FF182A" w14:textId="77777777" w:rsidR="00C76659" w:rsidRDefault="0002466B">
      <w:pPr>
        <w:pStyle w:val="ParaNo"/>
        <w:tabs>
          <w:tab w:val="clear" w:pos="360"/>
        </w:tabs>
      </w:pPr>
      <w:r>
        <w:t>De tweede zin van artikel 4 geeft een realistische acceptatie weer dat een gebrek aan middelen - financiële en andere middelen - de volledige uitvoering van economische, sociale en culturele rechten in sommige Staten die partij zijn kan belemmeren; hierdoor is er sprake van het concept van "progressieve verwezenlijking” van die rechten:  Staten die partij zijn moeten kunnen aantonen dat zij de maatregelen hebben genomen "in de ruimste mate waarin de hun ter beschikking staande middelen dit toelaten” en waar nodig internationale samenwerking hebben getracht te bewerkstelligen.  Wanneer Staten het Verdrag bekrachtigen gaan zij verplichtingen niet alleen aan om het Verdrag binnen hun rechtsgebied uit te voeren, maar ook om door middel van internationale samenwerking bij te dragen aan wereldwijde uitvoering van het Verdrag (zie par. 60 hieronder).</w:t>
      </w:r>
    </w:p>
    <w:p w14:paraId="5C4ED2C1" w14:textId="77777777" w:rsidR="00C76659" w:rsidRDefault="0002466B">
      <w:pPr>
        <w:pStyle w:val="ParaNo"/>
        <w:tabs>
          <w:tab w:val="clear" w:pos="360"/>
        </w:tabs>
      </w:pPr>
      <w:r>
        <w:t>Deze zin is vergelijkbaar met de bewoordingen die zijn gebruikt in het Internationaal Verdrag inzake economische, sociale en culturele rechten en het Comité volgt geheel het standpunt van het Comité voor Economische, Sociale en Culturele Rechten door te stellen dat “zelfs waar de beschikbare middelen aantoonbaar ontoereikend zijn, een Staat die partij is verplicht blijft ernaar te streven om in de heersende omstandigheden een zo breed mogelijk genot van de relevante rechten te waarborgen [...]".</w:t>
      </w:r>
      <w:r>
        <w:rPr>
          <w:rStyle w:val="EndnoteReference"/>
          <w:lang w:val="en-GB"/>
        </w:rPr>
        <w:endnoteReference w:id="6"/>
      </w:r>
      <w:r>
        <w:t xml:space="preserve">  Staten die partij zijn bij het Verdrag zijn ongeacht hun economische omstandigheden verplicht alle mogelijke maatregelen te nemen voor de verwezenlijking van de rechten van het kind, met speciale aandacht voor de meest achtergestelde groepen.</w:t>
      </w:r>
    </w:p>
    <w:p w14:paraId="56F82B9A" w14:textId="77777777" w:rsidR="00C76659" w:rsidRDefault="0002466B">
      <w:pPr>
        <w:pStyle w:val="ParaNo"/>
        <w:tabs>
          <w:tab w:val="clear" w:pos="360"/>
        </w:tabs>
      </w:pPr>
      <w:r>
        <w:t xml:space="preserve">De algemene uitvoeringsmaatregelen die door het Comité zijn vastgesteld en in het onderhavige General Comment zijn beschreven, zijn bedoeld om het volledige genot van alle rechten in het Verdrag door alle kinderen te bevorderen, door middel van wetgeving, de oprichting van coördinerende en toezichthoudende instanties - zowel overheidsinstanties als onafhankelijke instanties - uitgebreide gegevensverzameling, bewustmaking en opleiding en de ontwikkeling en uitvoering van passende beleidsmaatregelen, diensten en programma's.  Een van de bevredigende resultaten van de goedkeuring en bijna universele bekrachtiging van het Verdrag was de ontwikkeling op nationaal niveau van een breed scala aan nieuwe kindgerichte organisaties, structuren en activiteiten die kinderrechteneenheden centraal stellen in de regering, </w:t>
      </w:r>
      <w:r>
        <w:lastRenderedPageBreak/>
        <w:t>ministers voor kinderen, interministeriële commissies voor kinderen, parlementaire commissies, analyse van de effecten op kinderen, kinderbudgetten en rapporten over de "status van kinderrechten”, coalities van ngo's met betrekking tot kinderrechten, kinderombudspersonen en commissarissen voor kinderrechten enz.</w:t>
      </w:r>
    </w:p>
    <w:p w14:paraId="09AD8598" w14:textId="77777777" w:rsidR="00C76659" w:rsidRDefault="0002466B">
      <w:pPr>
        <w:pStyle w:val="ParaNo"/>
        <w:tabs>
          <w:tab w:val="clear" w:pos="360"/>
        </w:tabs>
      </w:pPr>
      <w:r>
        <w:t>Hoewel sommige van deze ontwikkelingen grotendeels cosmetisch lijken, duidt hun opkomst op zijn minst op een verandering in de perceptie van de plaats van het kind in de samenleving, een bereidheid om hogere politieke prioriteit te geven aan kinderen en een toenemende gevoeligheid voor de invloed van bestuur op kinderen en hun mensenrechten.</w:t>
      </w:r>
    </w:p>
    <w:p w14:paraId="60EAD91B" w14:textId="77777777" w:rsidR="00C76659" w:rsidRDefault="0002466B">
      <w:pPr>
        <w:pStyle w:val="ParaNo"/>
        <w:tabs>
          <w:tab w:val="clear" w:pos="360"/>
        </w:tabs>
      </w:pPr>
      <w:r>
        <w:t>Het Comité benadrukt dat Staten die partij zijn, in de context van het Verdrag hun taak moeten beschouwen als het vervullen van duidelijk wettelijke verplichtingen jegens ieder kind afzonderlijk.  Uitvoering geven aan de mensenrechten van kinderen mag niet beschouwd worden als een proces van liefdadigheid, waarin gunsten verleend worden aan kinderen.</w:t>
      </w:r>
    </w:p>
    <w:p w14:paraId="2C97C630" w14:textId="77777777" w:rsidR="00C76659" w:rsidRDefault="0002466B">
      <w:pPr>
        <w:pStyle w:val="ParaNo"/>
        <w:tabs>
          <w:tab w:val="clear" w:pos="360"/>
        </w:tabs>
      </w:pPr>
      <w:r>
        <w:t>De ontwikkeling van een kinderrechtenperspectief in de hele regering, het parlement en de rechterlijke macht is vereist voor een effectieve uitvoering van het gehele Verdrag en in het bijzonder in het licht van de volgende artikelen in het Verdrag die door het Comité als algemene beginselen worden aangemerkt:</w:t>
      </w:r>
    </w:p>
    <w:p w14:paraId="559AF00F" w14:textId="77777777" w:rsidR="00C76659" w:rsidRDefault="0002466B">
      <w:pPr>
        <w:ind w:left="720"/>
      </w:pPr>
      <w:r>
        <w:tab/>
      </w:r>
      <w:r>
        <w:rPr>
          <w:b/>
          <w:bCs/>
        </w:rPr>
        <w:t>Artikel 2:  De verplichting van Staten die partij zijn, de in het Verdrag beschreven rechten voor ieder kind onder hun rechtsbevoegdheid zonder discriminatie van welke aard ook te eerbiedigen en waarborgen.</w:t>
      </w:r>
      <w:r>
        <w:t xml:space="preserve">  Deze non-discriminatieverplichting verplicht Staten die partij zijn om individuele kinderen en groepen kinderen actief te identificeren, waarbij de erkenning en verwezenlijking van hun rechten speciale maatregelen kunnen vereisen.  Het Comité benadrukt met name bijvoorbeeld dat de gegevensverzameling moet worden opgesplitst om discriminatie of mogelijke discriminatie op te sporen.  Het aanpakken van discriminatie kan veranderingen in wetgeving, administratie en toewijzing van middelen vereisen, evenals educatieve maatregelen om attitudes te veranderen.  Benadrukt moet worden dat de toepassing van het non-discriminatiebeginsel van gelijke toegang tot rechten niet betekent dat er sprake is van een identieke behandeling.  Een General Comment van het Comité voor de Rechten van de Mens onderstreept hoe belangrijk het is om speciale maatregelen te nemen om omstandigheden die discriminatie veroorzaken te verminderen of weg te nemen.</w:t>
      </w:r>
      <w:r>
        <w:rPr>
          <w:rStyle w:val="EndnoteReference"/>
        </w:rPr>
        <w:endnoteReference w:id="7"/>
      </w:r>
    </w:p>
    <w:p w14:paraId="33F85A5F" w14:textId="77777777" w:rsidR="00C76659" w:rsidRDefault="0002466B">
      <w:pPr>
        <w:ind w:left="720"/>
      </w:pPr>
      <w:r>
        <w:tab/>
      </w:r>
      <w:r>
        <w:rPr>
          <w:b/>
          <w:bCs/>
        </w:rPr>
        <w:t>Artikel 3.1:  Het belang van het kind als voornaamste overweging bij alle maatregelen die kinderen betreffen.</w:t>
      </w:r>
      <w:r>
        <w:t xml:space="preserve">  Het artikel verwijst naar acties ondernomen door "openbare of particuliere instellingen voor maatschappelijk welzijn of door rechterlijke instanties, bestuurlijke autoriteiten of wetgevende lichamen".  Het beginsel vereist actieve maatregelen in de hele regering, het parlement en de rechterlijke macht.  Elke wetgevende, bestuurlijke en rechterlijke instantie of instelling moet het beginsel van de beste belangen toepassen door systematisch na te gaan hoe de rechten en belangen van kinderen worden of zullen worden beïnvloed door hun beslissingen en maatregelen - door bijvoorbeeld een voorgestelde of bestaande wet of beleidsmaatregel of bestuurlijke actie, of een rechterlijke beslissing, inclusief beslissingen die niet direct betrekking hebben op kinderen, maar indirect van invloed zijn op kinderen.</w:t>
      </w:r>
    </w:p>
    <w:p w14:paraId="59AFD011" w14:textId="77777777" w:rsidR="00C76659" w:rsidRDefault="0002466B">
      <w:pPr>
        <w:ind w:left="720"/>
      </w:pPr>
      <w:r>
        <w:tab/>
      </w:r>
      <w:r>
        <w:rPr>
          <w:b/>
          <w:bCs/>
        </w:rPr>
        <w:t>Artikel 6:  het inherente recht van het kind op leven en de plicht van Staten die partij zijn om de mogelijkheden tot overleven en de ontwikkeling van het kind in de ruimst mogelijke mate te waarborgen.</w:t>
      </w:r>
      <w:r>
        <w:t xml:space="preserve">  Het Comité verwacht van Staten die partij zijn dat zij “ontwikkeling” in de breedste zin interpreteren als een holistisch begrip, waarbij de lichamelijke, geestelijke, spirituele, morele, psychologische en sociale ontwikkeling van het kind omarmd wordt.  Maatregelen ter uitvoering dienen gericht te zijn op het bereiken van een optimale ontwikkeling voor alle kinderen.</w:t>
      </w:r>
    </w:p>
    <w:p w14:paraId="48CE090C" w14:textId="77777777" w:rsidR="00C76659" w:rsidRDefault="0002466B">
      <w:pPr>
        <w:ind w:left="720"/>
      </w:pPr>
      <w:r>
        <w:tab/>
      </w:r>
      <w:r>
        <w:rPr>
          <w:b/>
          <w:bCs/>
        </w:rPr>
        <w:t>Artikel 12:  het recht van het kind om zijn of haar mening vrijelijk te uiten in "alle aangelegenheden die het kind betreffen", waarbij aan die mening passend belang wordt gehecht.</w:t>
      </w:r>
      <w:r>
        <w:t xml:space="preserve">  Dit beginsel, waarin de rol van het kind als actieve deelnemer aan de bevordering, bescherming en bewaking van zijn of haar rechten wordt benadrukt, geldt in gelijke mate voor alle maatregelen die zijn toegepast door Staten die partij zijn ter uitvoering van het Verdrag. </w:t>
      </w:r>
    </w:p>
    <w:p w14:paraId="233DE847" w14:textId="77777777" w:rsidR="00C76659" w:rsidRDefault="0002466B">
      <w:pPr>
        <w:ind w:left="720"/>
      </w:pPr>
      <w:r>
        <w:tab/>
        <w:t>Het openstellen van besluitvormingsprocessen van de overheid voor kinderen is een positieve uitdaging waarvan het Comité constateert dat Staten die partij zijn die in toenemende mate aangaan.  Aangezien maar weinig landen de stemgerechtigde leeftijd verlaagd hebben naar onder de 18 jaar, is er des te meer reden om de eerbiediging van de opvattingen van niet-stemgerechtigde kinderen door de overheid en het parlement te waarborgen.  Als overleg zinvol moet zijn, moeten zowel documenten als processen toegankelijk worden gemaakt.  Maar lijken te "luisteren" naar kinderen is relatief makkelijk; het geven van voldoende gewicht aan hun mening vereist echte verandering.  Luisteren naar kinderen moet niet worden gezien als een doel op zich, maar eerder als een middel waardoor Staten die partij zijn hun interacties met kinderen en hun acties voor kinderen steeds meer ontvankelijk maken voor de tenuitvoerlegging van kinderrechten.</w:t>
      </w:r>
    </w:p>
    <w:p w14:paraId="1904BA3F" w14:textId="77777777" w:rsidR="00C76659" w:rsidRDefault="0002466B">
      <w:pPr>
        <w:ind w:left="720"/>
      </w:pPr>
      <w:r>
        <w:tab/>
        <w:t>Eenmalige of reguliere evenementen zoals een jeugdparlement kunnen stimulerend werken en het algemeen bewustzijn vergroten.  Maar artikel 12 vereist consistente en doorlopende regelingen.  Betrokkenheid van en overleg met kinderen moet ook symboolbeleid voorkomen en moet gericht zijn op het vaststellen van representatieve opvattingen.  De nadruk op "aangelegenheden die hen betreffen" in artikel 12.1 impliceert de vaststelling van de mening van bepaalde groepen kinderen over specifieke kwesties, bijvoorbeeld kinderen die ervaring hebben met jeugdstrafrecht over voorstellen voor wetshervorming op dat gebied, of geadopteerde kinderen en kinderen in adoptiegezinnen over adoptiewetgeving en -beleid.  Het is belangrijk dat overheden een directe relatie met kinderen ontwikkelen, niet alleen een relatie die door bemiddeling van non-gouvernementele organisaties (ngo's) of mensenrechteninstellingen tot stand is gekomen.  In de beginjaren van het Verdrag speelden ngo's een aanzienlijke rol bij de baanbrekende participatieve aanpak van kinderen, maar het is in het belang van overheden en kinderen om het juiste directe contact te hebben.</w:t>
      </w:r>
    </w:p>
    <w:p w14:paraId="6569BD2E" w14:textId="77777777" w:rsidR="00C76659" w:rsidRDefault="0002466B">
      <w:pPr>
        <w:pStyle w:val="Heading1"/>
      </w:pPr>
      <w:r>
        <w:t>II.  HERZIENING VAN VOORBEHOUDEN</w:t>
      </w:r>
    </w:p>
    <w:p w14:paraId="248B73B1" w14:textId="77777777" w:rsidR="00C76659" w:rsidRDefault="0002466B">
      <w:pPr>
        <w:pStyle w:val="ParaNo"/>
        <w:tabs>
          <w:tab w:val="clear" w:pos="360"/>
        </w:tabs>
      </w:pPr>
      <w:r>
        <w:t>In zijn rapportagerichtlijnen voor algemene uitvoeringsmaatregelen roept het Comité eerst de Staat die partij is op om aan te geven of deze het nodig acht gemaakte voorbehouden te handhaven of van plan is deze in te trekken.</w:t>
      </w:r>
      <w:r>
        <w:rPr>
          <w:rStyle w:val="EndnoteReference"/>
          <w:lang w:val="en-GB"/>
        </w:rPr>
        <w:endnoteReference w:id="8"/>
      </w:r>
      <w:r>
        <w:t xml:space="preserve">  Staten die partij zijn hebben het recht om voorbehoud te maken ten tijde van hun bekrachtiging van of toetreding tot het Verdrag (art. 51).  Het doel van het Comité om te zorgen voor volledige en onvoorwaardelijke eerbiediging van de mensenrechten van kinderen kan alleen worden bereikt als Staten die partij zijn hun voorbehouden intrekken.  Het Comité adviseert bij zijn onderzoek van de rapporten consequent dat voorbehouden worden herzien en ingetrokken.  Wanneer een Staat die partij is na evaluatie besluit een voorbehoud te handhaven, verzoekt het Comité een volledige toelichting bij het volgende periodieke rapport op te nemen.  Het Comité vestigt de aandacht van Staten die partij zijn op de stimulans van de Wereldconferentie over mensenrechten om voorbehouden te herzien en in te trekken.</w:t>
      </w:r>
      <w:r>
        <w:rPr>
          <w:rStyle w:val="EndnoteReference"/>
          <w:lang w:val="en-GB"/>
        </w:rPr>
        <w:endnoteReference w:id="9"/>
      </w:r>
    </w:p>
    <w:p w14:paraId="14E208F2" w14:textId="77777777" w:rsidR="00C76659" w:rsidRDefault="0002466B">
      <w:pPr>
        <w:pStyle w:val="ParaNo"/>
        <w:tabs>
          <w:tab w:val="clear" w:pos="360"/>
        </w:tabs>
      </w:pPr>
      <w:r>
        <w:t>Artikel 2 van het Verdrag van Wenen inzake het verdragenrecht definieert "voorbehoud" als een "eenzijdige verklaring, ongeacht haar bewoording of haar benaming, afgelegd door een Staat wanneer hij een verdrag ondertekent, bekrachtigt, aanvaardt of goedkeurt of daartoe toetreedt, waarbij hij te kennen geeft het rechtsgevolg van zekere bepalingen van het verdrag in hun toepassing met betrekking tot deze Staat uit te sluiten of te wijzigen".  Het Verdrag van Wenen vermeldt dat Staten die partij zijn het recht hebben om op het moment van bekrachtiging van of toetreding tot een verdrag een voorbehoud te maken, tenzij het "niet verenigbaar is met voorwerp en doel van het verdrag" (art. 19).</w:t>
      </w:r>
    </w:p>
    <w:p w14:paraId="3E7DF5DE" w14:textId="77777777" w:rsidR="00C76659" w:rsidRDefault="0002466B">
      <w:pPr>
        <w:pStyle w:val="ParaNo"/>
        <w:tabs>
          <w:tab w:val="clear" w:pos="360"/>
        </w:tabs>
      </w:pPr>
      <w:r>
        <w:t>Artikel 51.2 van het Verdrag inzake de rechten van het kind geeft dit weer:  “Een voorbehoud dat niet verenigbaar is met doel en strekking van dit Verdrag is niet toegestaan".  Het Comité maakt zich ernstig zorgen dat sommige Staten die partij zijn voorbehouden hebben gemaakt die duidelijk in strijd zijn met artikel 51.2 door er bijvoorbeeld op te wijzen dat eerbiediging van het Verdrag beperkt wordt door de bestaande grondwet of wetgeving van de Staat die partij is en in sommige gevallen is dat een religieuze wetgeving.  Artikel 27 van het Verdrag van Wenen inzake het verdragenrecht bepaalt:  “Een partij mag zich niet beroepen op de bepalingen van zijn nationale recht om het niet ten uitvoer leggen van een verdrag te rechtvaardigen".</w:t>
      </w:r>
    </w:p>
    <w:p w14:paraId="014E2A35" w14:textId="77777777" w:rsidR="00C76659" w:rsidRDefault="0002466B">
      <w:pPr>
        <w:pStyle w:val="ParaNo"/>
        <w:tabs>
          <w:tab w:val="clear" w:pos="360"/>
        </w:tabs>
      </w:pPr>
      <w:r>
        <w:t>Het Comité merkt op dat Staten die partij zijn in sommige gevallen formeel bezwaar hebben gemaakt tegen dergelijk breed voorbehoud dat gemaakt is door andere Staten die partij zijn.  Het beveelt alle maatregelen aan die bijdragen tot een zo volledig mogelijke naleving van het verdrag in alle staten die partij zijn.</w:t>
      </w:r>
    </w:p>
    <w:p w14:paraId="2EB5DD97" w14:textId="597C7878" w:rsidR="00C76659" w:rsidRDefault="0002466B">
      <w:pPr>
        <w:pStyle w:val="Heading1"/>
        <w:ind w:left="1985" w:hanging="567"/>
        <w:jc w:val="left"/>
      </w:pPr>
      <w:r>
        <w:t>III.</w:t>
      </w:r>
      <w:r>
        <w:tab/>
        <w:t xml:space="preserve">BEKRACHTIGING VAN ANDERE BELANGRIJKE INTERNATONALE MENSENRECHTENVERDRAGEN </w:t>
      </w:r>
    </w:p>
    <w:p w14:paraId="1202B563" w14:textId="77777777" w:rsidR="00C76659" w:rsidRDefault="0002466B">
      <w:pPr>
        <w:pStyle w:val="ParaNo"/>
        <w:tabs>
          <w:tab w:val="clear" w:pos="360"/>
        </w:tabs>
      </w:pPr>
      <w:r>
        <w:t>Als onderdeel van zijn beschouwing van algemene uitvoeringsmaatregelen, en in het licht van de beginselen van ondeelbaarheid en onderlinge afhankelijkheid van mensenrechten, dringt het Comité er consequent bij Staten die partij zijn op aan om, als zij dit nog niet hebben gedaan, de twee Facultatieve Protocollen bij het Verdrag inzake de rechten van het kind (over de betrokkenheid van kinderen bij gewapende conflicten en over de verkoop van kinderen, kinderprostitutie en kinderpornografie) te bekrachtigen, evenals de zes andere grote internationale mensenrechtenverdragen.  Tijdens zijn dialoog met de Staten die partij zijn moedigt het Comité deze vaak aan om te overwegen andere relevante internationale verdragen te bekrachtigen.  Een niet volledige lijst van deze verdragen is als bijlage toegevoegd aan het huidige General Comment</w:t>
      </w:r>
      <w:r>
        <w:rPr>
          <w:i/>
        </w:rPr>
        <w:t>,</w:t>
      </w:r>
      <w:r>
        <w:t xml:space="preserve"> die het Comité van tijd tot tijd zal bijwerken.</w:t>
      </w:r>
    </w:p>
    <w:p w14:paraId="0CF5598B" w14:textId="77777777" w:rsidR="00C76659" w:rsidRDefault="0002466B">
      <w:pPr>
        <w:pStyle w:val="Heading1"/>
      </w:pPr>
      <w:r>
        <w:t>IV.  WETGEVENDE MAATREGELEN</w:t>
      </w:r>
    </w:p>
    <w:p w14:paraId="3B78D8AA" w14:textId="77777777" w:rsidR="00C76659" w:rsidRDefault="0002466B">
      <w:pPr>
        <w:pStyle w:val="ParaNo"/>
        <w:tabs>
          <w:tab w:val="clear" w:pos="360"/>
        </w:tabs>
      </w:pPr>
      <w:r>
        <w:t>Het Comité is van mening dat een grondige herziening van alle nationale wetgeving en daarmee verband houdende administratieve richtsnoeren om ervoor te zorgen dat het Verdrag volledig wordt nageleefd, een verplichting is.  De ervaring met het onderzoeken van niet alleen het eerste, maar nu het tweede en derde periodieke verslag in het kader van het Verdrag geeft aan dat het beoordelingsproces op nationaal niveau in de meeste gevallen is gestart, maar strenger moet zijn.  Bij de beoordeling moet het Verdrag niet alleen per artikel, maar ook holistisch worden beschouwd, waarbij de onderlinge afhankelijkheid en ondeelbaarheid van mensenrechten worden erkend.  De beoordeling moet doorlopend zijn in plaats van eenmalig, waarbij zowel de voorgestelde als de bestaande wetgeving wordt beoordeeld.  En hoewel het belangrijk is dat dit beoordelingsproces een automatisch onderdeel van alle relevante ministeries van het overheidsapparaat wordt, is het ook voordelig dat zaken onafhankelijk beoordeeld worden door bijvoorbeeld parlementaire commissies en hoorzittingen, nationale mensenrechteninstellingen, ngo's, academici, getroffen kinderen en jongeren en anderen.</w:t>
      </w:r>
    </w:p>
    <w:p w14:paraId="261CC591" w14:textId="77777777" w:rsidR="00C76659" w:rsidRDefault="0002466B">
      <w:pPr>
        <w:pStyle w:val="ParaNo"/>
        <w:tabs>
          <w:tab w:val="clear" w:pos="360"/>
        </w:tabs>
      </w:pPr>
      <w:r>
        <w:t>Staten die partij zijn, moeten er met alle geschikte middelen voor zorgen dat de bepalingen van het Verdrag rechtsgevolgen hebben binnen hun nationale rechtsstelsels.  Dit blijft in vele Staten die partij zijn een lastige kwestie.  Van bijzonder belang is de noodzaak om de mate van toepasselijkheid van het Verdrag te verduidelijken in Staten waar het beginsel van "zelfuitvoering" geldt en andere Staten waar ervan wordt uitgegaan dat het Verdrag "grondwettelijke status heeft" of is opgenomen in het nationale recht.</w:t>
      </w:r>
    </w:p>
    <w:p w14:paraId="38D418B4" w14:textId="77777777" w:rsidR="00C76659" w:rsidRDefault="0002466B">
      <w:pPr>
        <w:pStyle w:val="ParaNo"/>
        <w:tabs>
          <w:tab w:val="clear" w:pos="360"/>
        </w:tabs>
      </w:pPr>
      <w:r>
        <w:t>Het Comité verwelkomt opname van het Verdrag in nationaal recht, wat de traditionele benadering is van de uitvoering van internationale mensenrechtenverdragen in sommige maar niet alle Staten die partij zijn.  Opname dient te betekenen dat er rechtstreeks voor de rechter een beroep gedaan kan worden op de bepalingen van het Verdrag, dat die door de nationale autoriteiten kunnen worden toegepast en dat het Verdrag bij strijdigheid geldt boven de nationale wetgeving of de gangbare praktijk.  Opname op zichzelf maakt niet dat het niet nodig is om te zorgen dat alle relevante nationale wetgeving, met inbegrip van eventueel lokaal of gewoonterecht, in overeenstemming wordt gebracht met het Verdrag.  In geval van strijdige wetgeving dient het Verdrag altijd te gelden boven andere wetgeving, in het licht van artikel 27 van het Verdrag van Wenen inzake het verdragenrecht.  Wanneer een Staat die partij is wetgevende bevoegdheden delegeert aan federale, regionale of territoriale overheden, moet hij ook van deze ondergeschikte overheden verlangen dat zij wetgeving opstellen in het kader van het Verdrag en zorgen voor effectieve uitvoering ervan (zie ook de paragrafen 40 en volgende hieronder).</w:t>
      </w:r>
    </w:p>
    <w:p w14:paraId="3BC480BE" w14:textId="77777777" w:rsidR="00C76659" w:rsidRDefault="0002466B">
      <w:pPr>
        <w:pStyle w:val="ParaNo"/>
        <w:tabs>
          <w:tab w:val="clear" w:pos="360"/>
        </w:tabs>
      </w:pPr>
      <w:r>
        <w:t>Sommige Staten die partij zijn hebben bij het Comité aangegeven dat de opname in hun grondwet van garanties van rechten voor "iedereen" voldoende is om de eerbiediging van deze rechten voor kinderen te waarborgen.  De test moet zijn of de toepasselijke rechten echt voor kinderen worden verwezenlijkt en of er rechtstreeks voor de rechter een beroep op kan worden gedaan.  Het Comité verwelkomt de opname van paragrafen over de rechten van het kind in de nationale grondwetten, met inachtneming van de belangrijkste beginselen van het Verdrag, die de kernboodschap van het Verdrag onderstrepen - dat naast volwassenen ook kinderen mensenrechten hebben.  Dit zorgt er echter niet automatisch voor dat de rechten van kinderen geëerbiedigd worden.  Aanvullende wetgevende en andere maatregelen kunnen nodig zijn om de volledige tenuitvoerlegging van deze rechten te bevorderen, inclusief, indien van toepassing, de uitoefening van rechten door kinderen zelf.</w:t>
      </w:r>
    </w:p>
    <w:p w14:paraId="7C8BBA35" w14:textId="77777777" w:rsidR="00C76659" w:rsidRDefault="0002466B">
      <w:pPr>
        <w:pStyle w:val="ParaNo"/>
        <w:tabs>
          <w:tab w:val="clear" w:pos="360"/>
        </w:tabs>
      </w:pPr>
      <w:r>
        <w:t>Het Comité benadrukt met name hoe belangrijk het is ervoor te zorgen dat het nationale recht de vastgestelde algemene beginselen in het Verdrag weerspiegelt (art. 2, 3, 6 en12 (zie par. 12 hierboven)).  Het Comité verwelkomt de ontwikkeling van geconsolideerde kinderrechtenstatuten, die de beginselen van het Verdrag kunnen onderstrepen en benadrukken.  Maar het Comité benadrukt dat het bovendien cruciaal is dat alle relevante "sectorale" wetten (over onderwijs, gezondheid, justitie enz.) consequent de beginselen en normen van het Verdrag weergeven.</w:t>
      </w:r>
    </w:p>
    <w:p w14:paraId="17738482" w14:textId="77777777" w:rsidR="00C76659" w:rsidRDefault="0002466B">
      <w:pPr>
        <w:pStyle w:val="ParaNo"/>
        <w:tabs>
          <w:tab w:val="clear" w:pos="360"/>
        </w:tabs>
      </w:pPr>
      <w:r>
        <w:t>Het Comité moedigt alle Staten die partij zijn aan in hun rechtsgebied wettelijke bepalingen vast te stellen en uit te voeren die gunstiger zijn voor de verwezenlijking van de rechten van het kind dan die in het Verdrag zijn opgenomen, in het licht van artikel 41.  Het Comité benadrukt dat de andere internationale mensenrechtenverdragen van toepassing zijn op alle personen jonger dan 18 jaar.</w:t>
      </w:r>
    </w:p>
    <w:p w14:paraId="45AF2F71" w14:textId="77777777" w:rsidR="00C76659" w:rsidRDefault="0002466B">
      <w:pPr>
        <w:pStyle w:val="Heading1"/>
      </w:pPr>
      <w:r>
        <w:t>V. AFDWINGBAARHEID VAN RECHTEN</w:t>
      </w:r>
    </w:p>
    <w:p w14:paraId="6CBBCF13" w14:textId="77777777" w:rsidR="00C76659" w:rsidRDefault="0002466B">
      <w:pPr>
        <w:pStyle w:val="ParaNo"/>
        <w:tabs>
          <w:tab w:val="clear" w:pos="360"/>
        </w:tabs>
      </w:pPr>
      <w:r>
        <w:t>Om zinvolle rechten te hebben, moeten er doeltreffende rechtsmiddelen beschikbaar zijn om schendingen te herstellen.  Deze vereiste is impliciet vastgelegd in het Verdrag en wordt consequent vermeld in de zes andere belangrijke internationale mensenrechtenverdragen.  De speciale en afhankelijke status van kinderen maakt het echt moeilijk voor hen om rechtsmiddelen tegen schendingen van hun rechten te zoeken.  Dus moeten Staten die partij zijn bijzondere aandacht schenken aan het waarborgen van beschikbare doeltreffende, kindvriendelijke procedures voor kinderen en hun vertegenwoordigers.  Dit betekent tevens het aanbieden van kindvriendelijke informatie, advies, belangenbehartiging, en ook ondersteuning bij de behartiging van de eigen belangen, en toegang tot onafhankelijke klachtenprocedures en rechtbanken met de nodige juridische en andere hulp.  Wanneer rechten geschonden blijken te zijn, zijn passende herstelbetalingen aan de orde, met schadeloosstelling en waar nodig maatregelen ter bevordering van fysiek en psychologisch herstel, rehabilitatie en reïntegratie, zoals wordt vereist door artikel 39.</w:t>
      </w:r>
    </w:p>
    <w:p w14:paraId="7C04019D" w14:textId="77777777" w:rsidR="00C76659" w:rsidRDefault="0002466B">
      <w:pPr>
        <w:pStyle w:val="ParaNo"/>
        <w:tabs>
          <w:tab w:val="clear" w:pos="360"/>
        </w:tabs>
      </w:pPr>
      <w:r>
        <w:t>Zoals in paragraaf 6 hieronder wordt aangegeven, benadrukt het Comité dat economische, sociale en culturele rechten, evenals burgerrechten en politieke rechten, als te rechtvaardigen gezien moeten worden.  Het is van essentieel belang dat in de nationale wetgeving voldoende gedetailleerde rechten worden vastgesteld om rechtsmiddelen voor niet-naleving doeltreffend te maken.</w:t>
      </w:r>
    </w:p>
    <w:p w14:paraId="40BECBA9" w14:textId="77777777" w:rsidR="00C76659" w:rsidRDefault="0002466B">
      <w:pPr>
        <w:pStyle w:val="Heading1"/>
      </w:pPr>
      <w:r>
        <w:t>VI.  ADMINISTRATIEVE EN ANDERE MAATREGELEN</w:t>
      </w:r>
    </w:p>
    <w:p w14:paraId="7297F453" w14:textId="77777777" w:rsidR="00C76659" w:rsidRDefault="0002466B">
      <w:pPr>
        <w:pStyle w:val="ParaNo"/>
        <w:tabs>
          <w:tab w:val="clear" w:pos="360"/>
        </w:tabs>
      </w:pPr>
      <w:r>
        <w:t xml:space="preserve">Het Comité kan niet in detail de maatregelen voorschrijven die ieder afzonderlijke of elke Staat die partij is geschikt zal vinden om te zorgen voor een effectieve uitvoering van het Verdrag.  Maar uit de ervaring van de eerste tien jaar </w:t>
      </w:r>
      <w:r>
        <w:br w:type="page"/>
        <w:t>met het onderzoeken van de rapporten van de Staten die partij zijn en uit de voortdurende dialoog met overheden, de Verenigde Naties en aan de Verenigde Naties verbonden bureaus, ngo's en andere bevoegde instanties, heeft het Comité hier een aantal belangrijke adviezen gedestilleerd voor Staten die partij zijn.</w:t>
      </w:r>
    </w:p>
    <w:p w14:paraId="4A84FD80" w14:textId="77777777" w:rsidR="00C76659" w:rsidRDefault="0002466B">
      <w:pPr>
        <w:pStyle w:val="ParaNo"/>
        <w:tabs>
          <w:tab w:val="clear" w:pos="360"/>
        </w:tabs>
      </w:pPr>
      <w:r>
        <w:t>Het Comité is van mening dat een effectieve uitvoering van het Verdrag een zichtbare sectoroverschrijdende coördinatie vereist om de rechten van kinderen overal bij de overheid te erkennen en te realiseren, zowel tussen verschillende overheidsniveaus als tussen de overheid en de burgermaatschappij, en met name van kinderen en jongeren zelf.  Steevast zijn vele verschillende ministeries en andere overheids- of semi-overheidsinstanties van invloed op het leven van kinderen en het genot van hun rechten.  Slechts weinig ministeries hebben geen directe of indirecte invloed op het leven van kinderen.  Strikt toezicht op de uitvoering, die op alle niveaus in het overheidsproces dient te zijn ingebouwd, is nodig, maar ook onafhankelijk toezicht door nationale mensenrechteninstellingen, ngo's en anderen.</w:t>
      </w:r>
    </w:p>
    <w:p w14:paraId="6AFE0053" w14:textId="77777777" w:rsidR="00C76659" w:rsidRDefault="0002466B">
      <w:pPr>
        <w:pStyle w:val="Heading2"/>
      </w:pPr>
      <w:r>
        <w:t>A. De ontwikkeling van een allesomvattende nationale strategie die geworteld is in het Verdrag</w:t>
      </w:r>
    </w:p>
    <w:p w14:paraId="2D5F4E6A" w14:textId="77777777" w:rsidR="00C76659" w:rsidRDefault="0002466B">
      <w:pPr>
        <w:pStyle w:val="ParaNo"/>
        <w:tabs>
          <w:tab w:val="clear" w:pos="360"/>
        </w:tabs>
      </w:pPr>
      <w:r>
        <w:t>Als de overheid als geheel en op alle niveaus de rechten van het kind moet bevorderen, moet zij werken op basis van een nationale strategie die verenigt, allesomvattend is, uitgaat van de rechten en geworteld is in het Verdrag.</w:t>
      </w:r>
    </w:p>
    <w:p w14:paraId="3C4FFF77" w14:textId="77777777" w:rsidR="00C76659" w:rsidRDefault="0002466B">
      <w:pPr>
        <w:pStyle w:val="ParaNo"/>
        <w:tabs>
          <w:tab w:val="clear" w:pos="360"/>
        </w:tabs>
      </w:pPr>
      <w:r>
        <w:t>Het Comité adviseert een allesomvattende nationale strategie te ontwikkelen of een nationaal actieplan voor kinderen op basis van het raamwerk van het Verdrag.  Het Comité verwacht van Staten die partij zijn dat zij uitgaan van de aanbevelingen in zijn concluderende opmerkingen over hun periodieke rapportages bij de ontwikkeling en/of beoordeling van hun nationale strategieën.  Om te zorgen dat zo'n strategie effectief is, moet deze betrekking hebben op de situatie van alle kinderen, en op alle rechten onder het Verdrag.  De strategie moet ontwikkeld worden door middel van een proces van overleg, ook met kinderen en jongeren en degenen die met hen wonen en werken.  Zoals hierboven aangegeven (par. 12) betekent zinvol overleg met kinderen speciaal kindgericht materiaal en kindgerichte processen; het gaat er niet alleen om dat kinderen toegang krijgen tot processen die eigenlijk bedoeld zijn voor volwassenen.</w:t>
      </w:r>
    </w:p>
    <w:p w14:paraId="64085298" w14:textId="77777777" w:rsidR="00C76659" w:rsidRDefault="0002466B">
      <w:pPr>
        <w:pStyle w:val="ParaNo"/>
        <w:tabs>
          <w:tab w:val="clear" w:pos="360"/>
        </w:tabs>
      </w:pPr>
      <w:r>
        <w:t>Speciale aandacht zal gegeven moeten worden aan de opsporing en prioriteit geven aan gemarginaliseerde en achtergestelde kinderen.  Het non-discriminatiebeginsel in het Verdrag vereist dat alle door het Verdrag gegarandeerde rechten erkend dienen te worden voor alle kinderen onder de rechtsbevoegdheid van de Staten die partij zijn.  Zoals hierboven aangegeven (par. 12), staat het non-discriminatiebeginsel niet in de weg van het nemen van speciale maatregelen voor minder discriminatie.</w:t>
      </w:r>
    </w:p>
    <w:p w14:paraId="2E556D4F" w14:textId="77777777" w:rsidR="00C76659" w:rsidRDefault="0002466B">
      <w:pPr>
        <w:pStyle w:val="ParaNo"/>
        <w:tabs>
          <w:tab w:val="clear" w:pos="360"/>
        </w:tabs>
      </w:pPr>
      <w:r>
        <w:t>Om de strategie gezaghebbend te doen zijn dient zij op de hoogste overheidsniveaus onderschreven te zijn.  Ook moet zij gekoppeld zijn aan een nationale planning voor de ontwikkeling ervan en deel uitmaken van de nationale begroting; anders kan het zijn dat de strategie in de marge blijft steken en buiten de belangrijkste besluitvormingsprocessen valt.</w:t>
      </w:r>
    </w:p>
    <w:p w14:paraId="1E4F2C3E" w14:textId="77777777" w:rsidR="00C76659" w:rsidRDefault="0002466B">
      <w:pPr>
        <w:pStyle w:val="ParaNo"/>
        <w:tabs>
          <w:tab w:val="clear" w:pos="360"/>
        </w:tabs>
      </w:pPr>
      <w:r>
        <w:t>De strategie moet niet simpelweg een lijst met goede bedoelingen zijn; zij moet een beschrijving bevatten van een duurzaam proces voor het realiseren van de rechten van kinderen in de hele Staat die partij is; het moet verder gaan dan beleidsverklaringen en beginselen, om echte en haalbare doelen te stellen met betrekking tot het volledige scala van economische, sociale en culturele en burgerlijke en politieke rechten voor alle kinderen.  De allesomvattende nationale strategie kan uitgewerkt worden in nationale actieplannen per sector - bijvoorbeeld voor onderwijs en gezondheidszorg - door specifieke doelen op te stellen, gerichte uitvoeringsmaatregelen te nemen en financiën en mensen ter beschikking te stellen.  Het zal onvermijdelijk zijn dat de strategie prioriteiten moet stellen, maar de nauwkeurig omschreven verplichtingen die Staten die partij zijn geaccepteerd hebben onder het Verdrag mogen niet veronachtzaamd worden of verwateren.  De strategie dient adequaat van middelen te worden voorzien, wat menskracht en financiële middelen betreft.</w:t>
      </w:r>
    </w:p>
    <w:p w14:paraId="5E61175F" w14:textId="77777777" w:rsidR="00C76659" w:rsidRDefault="0002466B">
      <w:pPr>
        <w:pStyle w:val="ParaNo"/>
        <w:tabs>
          <w:tab w:val="clear" w:pos="360"/>
        </w:tabs>
      </w:pPr>
      <w:r>
        <w:t>Het ontwikkelen van een nationale strategie is geen eenmalige taak.  Eenmaal opgesteld moet de strategie ruim verspreid worden bij de gehele overheid en het publiek, waaronder kinderen (vertaald in kindvriendelijke versies en in de juiste talen en vormen).  De strategie dient regelingen te bevatten voor toezicht en voortdurende beoordeling, voor regelmatig bijwerken en periodieke rapportage aan parlement en publiek.</w:t>
      </w:r>
    </w:p>
    <w:p w14:paraId="4DCA70FA" w14:textId="77777777" w:rsidR="00C76659" w:rsidRDefault="0002466B">
      <w:pPr>
        <w:pStyle w:val="ParaNo"/>
        <w:tabs>
          <w:tab w:val="clear" w:pos="360"/>
        </w:tabs>
      </w:pPr>
      <w:r>
        <w:t>De “nationale actieplannen”, die Staten die partij zijn gestimuleerd werden te ontwikkelen na de eerste Wereldtop voor Kinderen in 1990, gingen over de specifieke toezeggingen die werden gedaan door de naties die bij de Wereldtop aanwezig waren.</w:t>
      </w:r>
      <w:r>
        <w:rPr>
          <w:rStyle w:val="EndnoteReference"/>
          <w:lang w:val="en-GB"/>
        </w:rPr>
        <w:endnoteReference w:id="10"/>
      </w:r>
      <w:r>
        <w:t xml:space="preserve">  In 1993 riepen de Verklaring van Wenen en het Actieprogramma, die waren aangenomen door de Wereldconferentie over mensenrechten, Staten die partij zijn op het Verdrag inzake de rechten van het kind in hun nationale actieplannen voor de mensenrechten op te nemen.</w:t>
      </w:r>
      <w:r>
        <w:rPr>
          <w:rStyle w:val="EndnoteReference"/>
          <w:lang w:val="en-GB"/>
        </w:rPr>
        <w:endnoteReference w:id="11"/>
      </w:r>
    </w:p>
    <w:p w14:paraId="6A5CFC03" w14:textId="77777777" w:rsidR="00C76659" w:rsidRDefault="0002466B">
      <w:pPr>
        <w:pStyle w:val="ParaNo"/>
        <w:tabs>
          <w:tab w:val="clear" w:pos="360"/>
        </w:tabs>
      </w:pPr>
      <w:r>
        <w:t>Het slotdocument van de bijzondere zitting van de Algemene Vergadering van de Verenigde Naties over kinderen in 2002 verplichtte staten er ook toe "om zo mogelijk eind 2003 zo snel mogelijk met nationale en, waar van toepassing, regionale actieplannen met een set van specifieke tijdgebonden en meetbare doelen en doelstellingen op basis van dit actieplan te komen of deze te verbeteren […]”.</w:t>
      </w:r>
      <w:r>
        <w:rPr>
          <w:rStyle w:val="EndnoteReference"/>
          <w:lang w:val="en-GB"/>
        </w:rPr>
        <w:endnoteReference w:id="12"/>
      </w:r>
      <w:r>
        <w:t xml:space="preserve">  Het Comité verwelkomt de toezeggingen om doelen en doelstellingen te halen die door de Staten die partij zijn in het slotdocument, </w:t>
      </w:r>
      <w:r>
        <w:rPr>
          <w:i/>
        </w:rPr>
        <w:t>Een wereld geschikt voor kinderen</w:t>
      </w:r>
      <w:r>
        <w:t>, op de bijzondere zitting over kinderen zijn gedaan en vastgesteld.  Maar het Comité benadrukt dat het doen van bepaalde toezeggingen bij een wereldconferentie de juridische verplichtingen onder het Verdrag van Staten die partij zijn niet minder maakt.  Evenzo maakt het maken van specifieke actieplannen als antwoord op de bijzondere zitting de snelheid waarmee een allesomvattende strategie voor het Verdrag moet worden ingevoerd niet minder.  Staten die partij zijn dienen hun antwoord op de bijzondere zitting van 2002 en andere betreffende wereldconferenties in hun algehele uitvoeringsstrategie voor het gehele Verdrag te integreren.</w:t>
      </w:r>
    </w:p>
    <w:p w14:paraId="0C3CED17" w14:textId="77777777" w:rsidR="00C76659" w:rsidRDefault="0002466B">
      <w:pPr>
        <w:pStyle w:val="ParaNo"/>
        <w:tabs>
          <w:tab w:val="clear" w:pos="360"/>
        </w:tabs>
      </w:pPr>
      <w:r>
        <w:t>Het slotdocument stimuleert Staten die partij zijn ook om te overwegen “informatie over genomen maatregelen en de behaalde resultaten bij de uitvoering van het huidige Actieplan op te nemen in hun rapportages aan het Comité inzake de rechten van het kind”.</w:t>
      </w:r>
      <w:r>
        <w:rPr>
          <w:rStyle w:val="EndnoteReference"/>
          <w:lang w:val="en-GB"/>
        </w:rPr>
        <w:endnoteReference w:id="13"/>
      </w:r>
      <w:r>
        <w:t xml:space="preserve">  Het Comité onderschrijft dit voorstel; het houdt toegewijd toezicht op de voortgang bij het nakomen van de op de bijzondere zitting gedane toezeggingen en biedt verdere begeleiding in zijn herziene richtlijnen voor periodieke verslaglegging in het kader van het Verdrag.</w:t>
      </w:r>
    </w:p>
    <w:p w14:paraId="18603159" w14:textId="77777777" w:rsidR="00C76659" w:rsidRDefault="0002466B">
      <w:pPr>
        <w:pStyle w:val="Heading2"/>
      </w:pPr>
      <w:r>
        <w:t>B. Coördinatie van de tenuitvoerlegging van kinderrechten</w:t>
      </w:r>
    </w:p>
    <w:p w14:paraId="3D51DA54" w14:textId="77777777" w:rsidR="00C76659" w:rsidRDefault="0002466B">
      <w:pPr>
        <w:pStyle w:val="ParaNo"/>
        <w:tabs>
          <w:tab w:val="clear" w:pos="360"/>
        </w:tabs>
      </w:pPr>
      <w:r>
        <w:t>Bij het onderzoek van de rapporten van Staten die partij zijn heeft het Comité het bijna altijd noodzakelijk geacht verdere overheidscoördinatie te stimuleren om een effectieve tenuitvoerlegging te waarborgen:  coördinatie tussen ministeries van centrale overheden, tussen de verschillende provincies en regio's, tussen centrale en andere overheidsniveaus en tussen de overheid en de burgermaatschappij.  Het doel van coördinatie is te zorgen dat alle beginselen en normen van het Verdrag voor alle kinderen onder de rechtsbevoegdheid van de Staat die partij is gerespecteerd worden; dat de aan een bekrachtiging van of toetreding tot het Verdrag inherent zijnde verplichtingen niet alleen erkend worden door die grote ministeries waar kinderen in aanzienlijke mate invloed van ondervinden - onderwijs, gezondheid/welzijn enzovoort - maar door de gehele overheid, ook bijvoorbeeld door ministeries waar men zich bezighoudt met financiën, planning, werkgelegenheid en defensie, en op alle niveaus.</w:t>
      </w:r>
    </w:p>
    <w:p w14:paraId="0831AECC" w14:textId="77777777" w:rsidR="00C76659" w:rsidRDefault="0002466B">
      <w:pPr>
        <w:pStyle w:val="ParaNo"/>
        <w:tabs>
          <w:tab w:val="clear" w:pos="360"/>
        </w:tabs>
      </w:pPr>
      <w:r>
        <w:t>Het Comité is van mening dat het als verdragsorgaan niet aan te raden is uitgewerkte regelingen te trachten voor te schrijven die voor heel verschillende overheidssystemen van alle Staten die partij zijn moeten gelden.  Er zijn vele formele en informele manieren om tot een effectieve coördinatie te komen, waaronder bijvoorbeeld interministeriële en interdepartementale commissies voor kinderen.  Het Comité stelt voor dat Staten die partij zijn, als ze dat niet al gedaan hebben, de werking van de overheid dienen te beoordelen vanuit het perspectief van de tenuitvoerlegging van het Verdrag en in het bijzonder van de vier artikelen waarvan is vastgesteld dat ze de algemene beginselen weergeven (zie par. 12 hierboven).</w:t>
      </w:r>
    </w:p>
    <w:p w14:paraId="750B7942" w14:textId="77777777" w:rsidR="00C76659" w:rsidRDefault="0002466B">
      <w:pPr>
        <w:pStyle w:val="ParaNo"/>
        <w:tabs>
          <w:tab w:val="clear" w:pos="360"/>
        </w:tabs>
      </w:pPr>
      <w:r>
        <w:t>Veel Staten die partij zijn hebben voordeel gehad bij het ontwikkelen van een specifiek ministerie of een afdeling dicht bij het centrum van de regering, soms zelfs op het kantoor van de president of premier of het kabinet, om zo de tenuitvoerlegging en het kinderbeleid te coördineren.  Zoals hierboven aangegeven zijn de maatregelen van zo goed als alle ministeries van invloed op het leven van kinderen.  Het is niet praktisch de verantwoordelijkheid voor alle diensten voor kinderen bij een afzonderlijk ministerie onder te brengen, en in ieder geval zou er daardoor het gevaar ontstaan dat kinderen bij de overheid nog verder gemarginaliseerd worden.  Maar een speciale eenheid, met bevoegdheid tot op hoog niveau, die direct rapporteert bijvoorbeeld aan de premier, de president of een kabinetscommissie over kinderen, kan zowel bijdragen aan het algemene doel kinderen zichtbaarder te maken bij de overheid en bij het coördineren zodat eerbiediging van de rechten van kinderen bij de hele overheid en op alle overheidsniveaus gewaarborgd is.  Een dergelijke eenheid kan verantwoordelijkheid gegeven worden voor zowel de ontwikkeling van de allesomvattende kinderstrategie en toezicht op de uitvoering ervan als op de coördinatie van de verslaglegging in het kader van het Verdrag.</w:t>
      </w:r>
    </w:p>
    <w:p w14:paraId="5437DF2C" w14:textId="77777777" w:rsidR="00C76659" w:rsidRDefault="0002466B">
      <w:pPr>
        <w:pStyle w:val="Heading2"/>
      </w:pPr>
      <w:r>
        <w:t>C. Decentraliseren, federaliseren en delegeren</w:t>
      </w:r>
    </w:p>
    <w:p w14:paraId="7E79811C" w14:textId="77777777" w:rsidR="00C76659" w:rsidRDefault="0002466B">
      <w:pPr>
        <w:pStyle w:val="ParaNo"/>
        <w:tabs>
          <w:tab w:val="clear" w:pos="360"/>
        </w:tabs>
      </w:pPr>
      <w:r>
        <w:t>Het Comité heeft het nodig gevonden voor veel Staten die partij zijn te benadrukken dat decentralisering van bevoegdheden, door overdracht en delegeren van bestuurlijke taken op geen enkele wijze afdoet aan de directe verantwoordelijkheid van de overheid van de Staat die partij is om haar verplichtingen jegens alle kinderen onder haar rechtsbevoegdheid na te komen, ongeacht de structuur van de Staat die partij is.</w:t>
      </w:r>
    </w:p>
    <w:p w14:paraId="165AFF1E" w14:textId="77777777" w:rsidR="00C76659" w:rsidRDefault="0002466B">
      <w:pPr>
        <w:pStyle w:val="ParaNo"/>
        <w:tabs>
          <w:tab w:val="clear" w:pos="360"/>
        </w:tabs>
      </w:pPr>
      <w:r>
        <w:t>Het Comité herhaalt dat de Staat die partij is en het Verdrag heeft bekrachtigd of is toegetreden onder alle omstandigheden verantwoordelijk blijft voor het waarborgen van de volledige tenuitvoerlegging van het Verdrag overal op het onder zijn rechtsmacht vallende grondgebied.  In elk proces van decentralisatie moeten de staten die partij zijn ervoor zorgen dat de gedecentraliseerde autoriteiten over de nodige financiële, menselijke en andere middelen beschikken om de verantwoordelijkheden voor de uitvoering van het verdrag effectief te vervullen.  De regeringen van Staten die partij zijn, moeten de bevoegdheid behouden om te eisen dat het Verdrag door decentrale overheden of lokale autoriteiten volledig wordt nageleefd en moeten permanente controlemechanismen instellen om ervoor te zorgen dat het Verdrag zonder discriminatie wordt geëerbiedigd en toegepast op alle kinderen onder hun rechtsbevoegdheid.  Verder moeten er garanties zijn om ervoor te zorgen dat decentralisatie of decentralisatie niet leidt tot discriminatie bij het genieten van rechten door kinderen in verschillende regio's.</w:t>
      </w:r>
    </w:p>
    <w:p w14:paraId="3BF9E3C3" w14:textId="77777777" w:rsidR="00C76659" w:rsidRDefault="0002466B">
      <w:pPr>
        <w:pStyle w:val="Heading2"/>
      </w:pPr>
      <w:r>
        <w:t>D. Privatiseren</w:t>
      </w:r>
    </w:p>
    <w:p w14:paraId="7CA37CB7" w14:textId="77777777" w:rsidR="00C76659" w:rsidRDefault="0002466B">
      <w:pPr>
        <w:pStyle w:val="ParaNo"/>
        <w:tabs>
          <w:tab w:val="clear" w:pos="360"/>
        </w:tabs>
      </w:pPr>
      <w:r>
        <w:t>Het proces van privatisering van diensten kan ernstige gevolgen hebben voor de erkenning en de verwezenlijking van kinderrechten.  Het Comité wijdde zijn algemene studiedag van 2002 aan het thema "De particuliere sector als dienstverlener en zijn rol bij de tenuitvoerlegging van kinderrechten", waarbij de particuliere sector wordt omschreven als bestaande uit ondernemingen, ngo's en andere particuliere organisaties, zowel profit als non-profit.  Na die dag van algemene discussie heeft het Comité gedetailleerde aanbevelingen aangenomen, waarop het de aandacht van de Staten die partij zijn, vestigt.</w:t>
      </w:r>
      <w:r>
        <w:rPr>
          <w:rStyle w:val="EndnoteReference"/>
          <w:lang w:val="en-GB"/>
        </w:rPr>
        <w:endnoteReference w:id="14"/>
      </w:r>
    </w:p>
    <w:p w14:paraId="26F46042" w14:textId="77777777" w:rsidR="00C76659" w:rsidRDefault="0002466B">
      <w:pPr>
        <w:pStyle w:val="ParaNo"/>
        <w:tabs>
          <w:tab w:val="clear" w:pos="360"/>
        </w:tabs>
      </w:pPr>
      <w:r>
        <w:t>Het Comité benadrukt dat Staten die partij zijn een wettelijke verplichting hebben de rechten van kinderen, zoals bepaald in het Verdrag, te eerbiedigen en waarborgen, met daarbij de verplichting ervoor te zorgen dat dienstverleners van buiten de Staat die partij is werken volgens de bepalingen van het Verdrag, waarmee indirecte verplichtingen ontstaan voor die actoren.</w:t>
      </w:r>
    </w:p>
    <w:p w14:paraId="081D8D7C" w14:textId="77777777" w:rsidR="00C76659" w:rsidRDefault="0002466B">
      <w:pPr>
        <w:pStyle w:val="ParaNo"/>
        <w:tabs>
          <w:tab w:val="clear" w:pos="360"/>
        </w:tabs>
      </w:pPr>
      <w:r>
        <w:t>Het Comité benadrukt dat het in staat stellen van de private sector om diensten te verlenen, er instituten op na te houden enz. op geen enkele wijze de verplichting van de Staat die partij is vermindert om volledige erkenning en verwezenlijking van alle rechten in het Verdrag te waarborgen (art. 2.1 en 3.2).  Artikel 3.1 legt vast dat het belang van het kind een primaire overweging is bij alle maatregelen die kinderen betreffen, of deze nu door publieke of private instanties worden ondernomen.  Artikel 3.3 vereist dat het instellen van passende normen door daartoe bevoegde instanties (met de juiste wettelijke bevoegdheid), met name op het gebied van gezondheid en met betrekking tot het aantal en de geschiktheid van de medewerkers.  Dit vereist rigoureuze inspecties om de naleving van het Verdrag te waarborgen.  Het Comité stelt voor dat er een permanent toezichtmechanisme of -proces dient te zijn dat gericht is op het waarborgen dat alle dienstverleners binnen en buiten de Staat die partij is het Verdrag eerbiedigen.</w:t>
      </w:r>
    </w:p>
    <w:p w14:paraId="70C988CA" w14:textId="1726712F" w:rsidR="00C76659" w:rsidRDefault="0002466B">
      <w:pPr>
        <w:pStyle w:val="Heading2"/>
        <w:ind w:left="2762" w:hanging="454"/>
        <w:jc w:val="left"/>
      </w:pPr>
      <w:r>
        <w:t xml:space="preserve">E. Toezicht op de uitvoering - beoordeling en evaluatie van de invloed op het kind noodzakelijk </w:t>
      </w:r>
    </w:p>
    <w:p w14:paraId="7E9196CE" w14:textId="77777777" w:rsidR="00C76659" w:rsidRDefault="0002466B">
      <w:pPr>
        <w:pStyle w:val="ParaNo"/>
        <w:tabs>
          <w:tab w:val="clear" w:pos="360"/>
        </w:tabs>
      </w:pPr>
      <w:r>
        <w:t>Zorgen dat het belang van het kind een primaire overweging is bij alle activiteiten die kinderen betreffen (art. 3.1), en dat alle bepalingen van het Verdrag worden nageleefd in wetgeving en beleidsontwikkeling en -levering op alle overheidsniveaus vraagt om een continu proces van beoordeling van de invloed ervan op kinderen (voorspelling van de impact van elke voorgestelde wet, beleid of begrotingstoewijzing die invloed heeft op kinderen en het genot van hun rechten) en beoordeling van de invloed ervan op kinderen (beoordeling van de daadwerkelijke impact van de tenuitvoerlegging).  Dit proces dient op alle niveaus van bestuur te worden ingebouwd en in een zo vroeg mogelijk stadium van de ontwikkeling van het beleid.</w:t>
      </w:r>
    </w:p>
    <w:p w14:paraId="32534C8E" w14:textId="77777777" w:rsidR="00C76659" w:rsidRDefault="0002466B">
      <w:pPr>
        <w:pStyle w:val="ParaNo"/>
        <w:tabs>
          <w:tab w:val="clear" w:pos="360"/>
        </w:tabs>
      </w:pPr>
      <w:r>
        <w:t>Toezicht en beoordeling van het eigen functioneren is een verplichting voor overheden.  Maar het Comité beschouwt de onafhankelijke beoordeling van de voortgang bij de tenuitvoerlegging door bijvoorbeeld parlementaire commissies, ngo's, academische instellingen, beroepsverenigingen ook als een wezenlijk onderdeel (zie par. 65 hieronder).</w:t>
      </w:r>
    </w:p>
    <w:p w14:paraId="40ACB6D5" w14:textId="77777777" w:rsidR="00C76659" w:rsidRDefault="0002466B">
      <w:pPr>
        <w:pStyle w:val="ParaNo"/>
        <w:tabs>
          <w:tab w:val="clear" w:pos="360"/>
        </w:tabs>
      </w:pPr>
      <w:r>
        <w:t>Het Comité prijst bepaalde Staten die partij zijn, die wetgeving hebben aangenomen die voorbereiding en het voorleggen aan het parlement en/of het publiek van formele verklaringen over impactanalyses vereist.  Iedere Staat die partij is dient te overwegen hoe hij naleving van artikel 3, lid 1 kan waarborgen en dat kan doen op een manier die de zichtbare integratie van kinderen in beleidsvorming en gevoeligheid voor hun rechten verder bevordert.</w:t>
      </w:r>
    </w:p>
    <w:p w14:paraId="3CEEDBA7" w14:textId="77777777" w:rsidR="00C76659" w:rsidRDefault="0002466B">
      <w:pPr>
        <w:pStyle w:val="Heading2"/>
      </w:pPr>
      <w:r>
        <w:t xml:space="preserve">F. Gegevensverzameling en -analyse en ontwikkeling van indicatoren </w:t>
      </w:r>
    </w:p>
    <w:p w14:paraId="326D5A14" w14:textId="77777777" w:rsidR="00C76659" w:rsidRDefault="0002466B">
      <w:pPr>
        <w:pStyle w:val="ParaNo"/>
        <w:tabs>
          <w:tab w:val="clear" w:pos="360"/>
        </w:tabs>
      </w:pPr>
      <w:r>
        <w:t>Het verzamelen van voldoende en betrouwbare gegevens over kinderen, uitgesplitst om discriminatie op te sporen en/of ongelijkheden in de verwezenlijking van rechten mogelijk te maken, is een essentieel onderdeel van de tenuitvoerlegging.  Het Comité herinnert Staten die partij zijn eraan dat gegevens verzameld moeten worden over de hele periode van de jeugd tot de leeftijd van 18 jaar.  Ook moet het in het hele rechtsgebied gecoördineerd worden om te zorgen dat indicatoren nationaal toepasselijk zijn.  Staten die partij zijn dienen samen te werken met de juiste onderzoekinstituten en zich te richten op het opbouwen van een totaalbeeld van de voortgang bij de tenuitvoerlegging, met zowel kwalitatieve als kwantitatieve onderzoeken.  De rapportagerichtlijnen voor periodieke rapportages vragen om gedetailleerde, uitgesplitste statistische en andere informatie op alle gebieden van het Verdrag.  Het is van essentieel belang om niet alleen effectieve systemen voor het verzamelen van gegevens op te zetten, maar ook om ervoor te zorgen dat de verzamelde gegevens worden beoordeeld en gebruikt om de voortgang bij de tenuitvoerlegging te beoordelen, problemen vast te stellen en alle beleidsontwikkelingen voor kinderen mee te delen.  Beoordelen vereist de ontwikkeling van indicatoren met betrekking tot alle door het Verdrag gegarandeerde rechten.</w:t>
      </w:r>
    </w:p>
    <w:p w14:paraId="282584E3" w14:textId="77777777" w:rsidR="00C76659" w:rsidRDefault="0002466B">
      <w:pPr>
        <w:pStyle w:val="ParaNo"/>
        <w:tabs>
          <w:tab w:val="clear" w:pos="360"/>
        </w:tabs>
      </w:pPr>
      <w:r>
        <w:t>Het Comité prijst Staten die partij zijn die begonnen zijn uitgebreide rapporten te publiceren over de status van kinderrechten in hun gehele rechtsgebied.</w:t>
      </w:r>
      <w:r>
        <w:rPr>
          <w:b/>
          <w:bCs/>
        </w:rPr>
        <w:t xml:space="preserve">  </w:t>
      </w:r>
      <w:r>
        <w:t>Publicatie en brede verspreiding van en debat over die rapporten, ook in het parlement, kunnen een focus bieden voor brede publieke betrokkenheid bij de tenuitvoerlegging.</w:t>
      </w:r>
      <w:r>
        <w:rPr>
          <w:b/>
          <w:bCs/>
        </w:rPr>
        <w:t xml:space="preserve">  </w:t>
      </w:r>
      <w:r>
        <w:t>Vertalingen, waaronder kindvriendelijke versies, zijn essentieel voor het betrekken van kinderen en minderheidsgroepen bij het proces.</w:t>
      </w:r>
    </w:p>
    <w:p w14:paraId="4267C737" w14:textId="77777777" w:rsidR="00C76659" w:rsidRDefault="0002466B">
      <w:pPr>
        <w:pStyle w:val="ParaNo"/>
        <w:tabs>
          <w:tab w:val="clear" w:pos="360"/>
        </w:tabs>
      </w:pPr>
      <w:r>
        <w:t>Het Comité benadrukt dat in veel gevallen alleen kinderen zelf in de positie zijn om aan te geven of hun rechten volledig erkend en gerealiseerd worden.  Het interviewen van kinderen en gebruikmaking van kinderen als onderzoekers (met de juiste waarborgen) is waarschijnlijk een belangrijke manier om bijvoorbeeld uit te vinden in welke mate hun burgerrechten, waaronder het cruciale recht zoals omschreven in artikel 12 om hun mening te uiten en hiervoor passend gewicht te krijgen, geëerbiedigd worden in het gezin, op school enz.</w:t>
      </w:r>
    </w:p>
    <w:p w14:paraId="22525F26" w14:textId="77777777" w:rsidR="00C76659" w:rsidRDefault="0002466B">
      <w:pPr>
        <w:pStyle w:val="Heading2"/>
      </w:pPr>
      <w:r>
        <w:t xml:space="preserve">G. Kinderen zichtbaar maken op begrotingen </w:t>
      </w:r>
    </w:p>
    <w:p w14:paraId="4D190A4C" w14:textId="77777777" w:rsidR="00C76659" w:rsidRDefault="0002466B">
      <w:pPr>
        <w:pStyle w:val="ParaNo"/>
        <w:tabs>
          <w:tab w:val="clear" w:pos="360"/>
        </w:tabs>
      </w:pPr>
      <w:r>
        <w:t>In zijn rapportagerichtlijnen en bij de beoordeling van de rapporten van de Staten die partij zijn, heeft het Comité veel aandacht besteed aan het vaststellen en analyseren van middelen voor kinderen op nationale en andere begrotingen.</w:t>
      </w:r>
      <w:r>
        <w:rPr>
          <w:rStyle w:val="EndnoteReference"/>
          <w:lang w:val="en-GB"/>
        </w:rPr>
        <w:endnoteReference w:id="15"/>
      </w:r>
      <w:r>
        <w:t xml:space="preserve">  Geen Staat kan zeggen of hij voldoet aan de economische, sociale en culturele rechten van kinderen "in de ruimste mate waarin de [...] ter beschikking staande middelen dit toelaten”, zoals hij verplicht is te doen volgens artikel 4, tenzij hij de verhouding kan aangeven tussen nationale en andere begrotingen voor de sociale sector en daarbinnen voor kinderen, zowel direct als indirect.  Sommige Staten hebben gesteld dat het niet mogelijk is nationale begrotingen op deze manier te analyseren.  Andere Staten hebben dit wel gedaan en publiceren nu jaarlijks een "kinderbegroting".  Het Comité moet weten welke stappen er genomen worden op alle overheidsniveaus om ervoor te zorgen dat economische en sociale plannings-, besluitvormings- en begrotingsbeslissingen genomen worden met het belang van kinderen als primaire overweging en dat kinderen, met name gemarginaliseerde en achtergestelde groepen kinderen, beschermd worden tegen de nadelige effecten van economisch beleid of financiële crises.</w:t>
      </w:r>
    </w:p>
    <w:p w14:paraId="54ACE91D" w14:textId="77777777" w:rsidR="00C76659" w:rsidRDefault="0002466B">
      <w:pPr>
        <w:pStyle w:val="ParaNo"/>
        <w:tabs>
          <w:tab w:val="clear" w:pos="360"/>
        </w:tabs>
      </w:pPr>
      <w:r>
        <w:t>Terwijl het benadrukt dat de effecten van economisch beleid op kinderrechten nooit neutraal zijn, is het Comité diep bezorgd door de vaak negatieve effecten op kinderen van structurele aanpassingsprogramma's en de overgang naar een markteconomie.  De uitvoeringstaken van artikel 4 en andere bepalingen van het Verdrag vragen om strak toezicht op de effecten van dergelijke veranderingen en aanpassing van beleid om de economische, sociale en culturele rechten van kinderen te beschermen.</w:t>
      </w:r>
    </w:p>
    <w:p w14:paraId="0877DFC5" w14:textId="77777777" w:rsidR="00C76659" w:rsidRDefault="0002466B">
      <w:pPr>
        <w:pStyle w:val="Heading2"/>
      </w:pPr>
      <w:r>
        <w:t>H. Opleiding en opbouw van capaciteit</w:t>
      </w:r>
    </w:p>
    <w:p w14:paraId="79D0410F" w14:textId="77777777" w:rsidR="00C76659" w:rsidRDefault="0002466B">
      <w:pPr>
        <w:pStyle w:val="ParaNo"/>
        <w:tabs>
          <w:tab w:val="clear" w:pos="360"/>
        </w:tabs>
        <w:ind w:left="0" w:firstLine="0"/>
      </w:pPr>
      <w:r>
        <w:t xml:space="preserve">Het Comité benadrukt de verplichting van Staten die partij zijn om opleidingen te ontwikkelen en capaciteit op te bouwen voor al diegenen die betrokken zijn bij het uitvoeringsproces - overheidsfunctionarissen, parlementariërs en leden van de rechterlijk macht - en voor al diegenen die werken met en voor kinderen.  Hiertoe behoren bijvoorbeeld gemeenschaps- en religieuze leiders, leerkrachten, maatschappelijk werkers en andere professionals, </w:t>
      </w:r>
      <w:r>
        <w:br w:type="page"/>
        <w:t>waaronder diegenen die werken met kinderen in instellingen en huizen van bewaring, de politie en strijdkrachten en ook de vredestroepen, mensen die in de media werkzaam zijn en vele anderen.  De trainingen dienen systematisch en voortdurend plaats te vinden - zowel in de basisopleiding als tijdens bijscholing.  Het doel van de trainingen is de status van het kind als iemand die mensenrechten heeft te benadrukken, de kennis en het begrip van het Verdrag te vergroten en actief respect te stimuleren voor alle bepalingen van het Verdrag.  Het Comité verwacht het Verdrag weerspiegeld te zien in programma's van beroepsopleidingen, gedragscodes en studiepakketten op alle niveaus.  Begrip en kennis van mensenrechten moet natuurlijk bevorderd worden onder kinderen zelf, door het onderwijsprogramma en op andere manieren (zie ook par. 69 hieronder en General Comment nr. 1 (2001) van het Comité over de doelstellingen van het onderwijs).</w:t>
      </w:r>
    </w:p>
    <w:p w14:paraId="455CDB01" w14:textId="77777777" w:rsidR="00C76659" w:rsidRDefault="0002466B">
      <w:pPr>
        <w:pStyle w:val="ParaNo"/>
        <w:tabs>
          <w:tab w:val="clear" w:pos="360"/>
        </w:tabs>
      </w:pPr>
      <w:r>
        <w:t xml:space="preserve">De richtlijnen van het Comité voor periodieke rapportage noemen vele aspecten van training, ook specialistische training, die essentieel zijn voor het genot van de rechten door alle kinderen.  In het Verdrag wordt het belang van het gezin onderstreept in de inleiding en in vele artikelen.  Het is vooral belangrijk dat de bevordering van kinderrechten onderdeel dient uit te maken van de voorbereiding op het ouderschap en ouderschapstraining.  </w:t>
      </w:r>
    </w:p>
    <w:p w14:paraId="164A8743" w14:textId="77777777" w:rsidR="00C76659" w:rsidRDefault="0002466B">
      <w:pPr>
        <w:pStyle w:val="ParaNo"/>
        <w:tabs>
          <w:tab w:val="clear" w:pos="360"/>
        </w:tabs>
        <w:ind w:left="0" w:firstLine="0"/>
      </w:pPr>
      <w:r>
        <w:t>De effectiviteit van training dient periodiek geëvalueerd te worden, waarbij niet alleen kennis van het Verdrag en de bepalingen van het Verdrag beoordeeld worden, maar ook de mate waarin de trainingen bijdragen aan het ontwikkelen van houdingen en praktijken die het genot van kinderrechten door kinderen actief bevorderen.</w:t>
      </w:r>
    </w:p>
    <w:p w14:paraId="4433DD45" w14:textId="77777777" w:rsidR="00C76659" w:rsidRDefault="0002466B">
      <w:pPr>
        <w:pStyle w:val="Heading2"/>
      </w:pPr>
      <w:r>
        <w:t xml:space="preserve">I. Samenwerking met de burgermaatschappij </w:t>
      </w:r>
    </w:p>
    <w:p w14:paraId="14BC884B" w14:textId="77777777" w:rsidR="00C76659" w:rsidRDefault="0002466B">
      <w:pPr>
        <w:pStyle w:val="ParaNo"/>
        <w:tabs>
          <w:tab w:val="clear" w:pos="360"/>
        </w:tabs>
        <w:ind w:left="0" w:firstLine="0"/>
      </w:pPr>
      <w:r>
        <w:t xml:space="preserve">Tenuitvoerlegging is een verplichting voor Staten die partij zijn, maar waarbij alle sectoren van de maatschappij, ook kinderen zelf, betrokken moeten zijn.  Het Comité erkent dat verantwoordelijkheden om de rechten van kinderen te eerbiedigen en waarborgen zich in de praktijk verder uitstrekken dan de Staat en onder toezicht van de Staat staande diensten en instellingen, en tevens kinderen, ouders en familie in breder verband, andere volwassenen en diensten en organisaties van buiten de Staat omvatten.  Het Comité volgt bijvoorbeeld General Comment nr. 14 (2000) van het Comité inzake economische, sociale en culturele rechten over het recht op de hoogst bereikbare gezondheidsnorm, waarvan par. 42 luidt:  “Hoewel alleen staten partij zijn bij het Verdrag en dus uiteindelijk verantwoordelijk zijn voor de naleving ervan, hebben alle leden van de samenleving - medewerkers in de gezondheidszorg, gezinnen, lokale gemeenschappen, intergouvernementele en niet-gouvernementele organisaties, maatschappelijke organisaties en de private sector - verantwoordelijkheden met betrekking tot de verwezenlijking van het recht op gezondheid.  De Staten die partij zijn dienen daarom een omgeving te scheppen waarin het zich kwijten van deze verantwoordelijkheden gefaciliteerd wordt.”  </w:t>
      </w:r>
    </w:p>
    <w:p w14:paraId="1FC57220" w14:textId="77777777" w:rsidR="00C76659" w:rsidRDefault="0002466B">
      <w:pPr>
        <w:pStyle w:val="ParaNo"/>
        <w:tabs>
          <w:tab w:val="clear" w:pos="360"/>
        </w:tabs>
        <w:ind w:left="0" w:firstLine="0"/>
      </w:pPr>
      <w:r>
        <w:t xml:space="preserve">Artikel 12 van het Verdrag vereist, zoals reeds benadrukt (zie par. 12 hierboven), dat er passend belang wordt gehecht aan de mening van kinderen over alle zaken die hen aangaan, en daar behoort de uitvoering van 'hun' Verdrag duidelijk ook toe. </w:t>
      </w:r>
    </w:p>
    <w:p w14:paraId="74B7F709" w14:textId="77777777" w:rsidR="00C76659" w:rsidRDefault="0002466B">
      <w:pPr>
        <w:pStyle w:val="ParaNo"/>
        <w:tabs>
          <w:tab w:val="clear" w:pos="360"/>
        </w:tabs>
        <w:ind w:left="0" w:firstLine="0"/>
      </w:pPr>
      <w:r>
        <w:t xml:space="preserve">De Staat moet in de breedste zin nauw samenwerken met ngo's, terwijl hun autonomie intussen geëerbiedigd dient te worden; hieronder vallen bijvoorbeeld mensenrechtenngo's, door kinderen en jongeren geleide organisaties en jeugdgroepen, oudergroepen, familiegroepen, geloofsgroepen, academische instellingen en beroepsverenigingen.  Ngo's hebben een essentiële rol gespeeld bij het opstellen van het Verdrag en hun betrokkenheid bij het proces van uitvoering is van vitaal belang. </w:t>
      </w:r>
    </w:p>
    <w:p w14:paraId="508D0410" w14:textId="77777777" w:rsidR="00C76659" w:rsidRDefault="0002466B">
      <w:pPr>
        <w:pStyle w:val="ParaNo"/>
        <w:tabs>
          <w:tab w:val="clear" w:pos="360"/>
        </w:tabs>
        <w:ind w:left="0" w:firstLine="0"/>
      </w:pPr>
      <w:r>
        <w:t>Het Comité juicht de ontwikkeling toe van ngo-coalities en allianties die zich bezighouden met het bevorderen, beschermen en toezicht op de mensenrechten van kinderen en dringt er bij overheden op aan hen niet-directieve ondersteuning te geven en positieve officiële en niet-officiële betrekkingen met hen aan te gaan.  De inzet van ngo's bij het rapportageproces in het kader van het Verdrag die vallen onder de definitie van "bevoegde instanties” onder artikel 45a, heeft in veel gevallen een werkelijke aanzet gegeven tot zowel het proces van uitvoering als het rapportageproces.  De ngo-groep voor het Verdrag inzake de rechten van het kind heeft een zeer welkome, sterke en ondersteunende invloed op het rapportageproces en andere aspecten van het werk van het Comité.  Het Comité onderstreept in zijn rapportagerichtlijnen dat het opstellen van een rapport de participatie van de bevolking en de publieke controle op het overheidsbeleid moet aanmoedigen en vergemakkelijken”.</w:t>
      </w:r>
      <w:r>
        <w:rPr>
          <w:rStyle w:val="EndnoteReference"/>
          <w:lang w:val="en-GB"/>
        </w:rPr>
        <w:endnoteReference w:id="16"/>
      </w:r>
      <w:r>
        <w:t xml:space="preserve">  De media kunnen waardevolle partners zijn bij het proces van uitvoering (zie ook par. 70).</w:t>
      </w:r>
    </w:p>
    <w:p w14:paraId="4CE1B3F3" w14:textId="77777777" w:rsidR="00C76659" w:rsidRDefault="0002466B">
      <w:pPr>
        <w:pStyle w:val="Heading2"/>
      </w:pPr>
      <w:r>
        <w:t>J. Internationale samenwerking</w:t>
      </w:r>
    </w:p>
    <w:p w14:paraId="09C15ED3" w14:textId="77777777" w:rsidR="00C76659" w:rsidRDefault="0002466B">
      <w:pPr>
        <w:pStyle w:val="ParaNo"/>
        <w:tabs>
          <w:tab w:val="clear" w:pos="360"/>
        </w:tabs>
        <w:ind w:left="0" w:firstLine="0"/>
      </w:pPr>
      <w:r>
        <w:t>Artikel 4 benadrukt dat uitvoering van het Verdrag een samenwerkingsoefening is voor Staten wereldwijd.  Dit artikel en andere artikelen in het Verdrag onderstrepen de noodzaak van internationale samenwerking.</w:t>
      </w:r>
      <w:r>
        <w:rPr>
          <w:rStyle w:val="EndnoteReference"/>
          <w:lang w:val="en-GB"/>
        </w:rPr>
        <w:endnoteReference w:id="17"/>
      </w:r>
      <w:r>
        <w:t xml:space="preserve">  Het Handvest van de Verenigde Naties (art. 55 en 56) stelt de algemene doelstellingen van internationale economische en sociale samenwerking vast, en de leden verbinden zich ertoe in het kader van het Handvest "om gezamenlijk en afzonderlijk actie te ondernemen in samenwerking met de Organisatie" om deze doelen te bereiken.  In de Millenniumverklaring van de Verenigde Naties en tijdens andere mondiale bijeenkomsten, waaronder de speciale zitting van de Algemene Vergadering van de Verenigde Naties over kinderen, hebben Staten die partij zijn zich met name verbonden tot internationale samenwerking om armoede uit te roeien.  </w:t>
      </w:r>
    </w:p>
    <w:p w14:paraId="5A5F8D8E" w14:textId="77777777" w:rsidR="00C76659" w:rsidRDefault="0002466B">
      <w:pPr>
        <w:pStyle w:val="ParaNo"/>
        <w:tabs>
          <w:tab w:val="clear" w:pos="360"/>
        </w:tabs>
        <w:ind w:left="0" w:firstLine="0"/>
      </w:pPr>
      <w:r>
        <w:t>Het Comité adviseert Staten die partij zijn dat het Verdrag het raamwerk dient te vormen voor internationale ontwikkelingshulp die direct of indirect verband houdt met kinderen en dat programma's van donorlanden gebaseerd dienen te zijn op rechten.  Het Comité dringt er bij Staten die partij zijn op aan te voldoen aan internationaal overeengekomen doelstellingen, zoals de doelstelling van de Verenigde Naties voor internationale ontwikkelingshulp voor 0,7% van het bruto nationaal product.  Dit doel werd samen met andere doelen herhaald in de Consensus van Monterrey die voortvloeide uit de Internationale Conferentie inzake Financiering voor Ontwikkeling in 2002.</w:t>
      </w:r>
      <w:r>
        <w:rPr>
          <w:rStyle w:val="EndnoteReference"/>
          <w:lang w:val="en-GB"/>
        </w:rPr>
        <w:endnoteReference w:id="18"/>
      </w:r>
      <w:r>
        <w:t xml:space="preserve">  Het Comité stimuleert Staten die partij zijn en die internationale hulp en bijstand ontvangen om een substantieel deel van die hulp specifiek aan kinderen toe te wijzen.  Het Comité verwacht van Staten die partij zijn dat zij jaarlijks kunnen aangeven welk bedrag en welk deel van de internationale steun zij hebben gereserveerd voor de tenuitvoerlegging van de rechten van kinderen. </w:t>
      </w:r>
    </w:p>
    <w:p w14:paraId="1EC676AD" w14:textId="77777777" w:rsidR="00C76659" w:rsidRDefault="0002466B">
      <w:pPr>
        <w:pStyle w:val="ParaNo"/>
        <w:tabs>
          <w:tab w:val="clear" w:pos="360"/>
        </w:tabs>
        <w:ind w:left="0" w:firstLine="0"/>
      </w:pPr>
      <w:r>
        <w:t xml:space="preserve">Het Comité onderschrijft de doelen van het 20/20 initiatief om universele toegang tot sociale basisdienstverlening van duurzaam goede kwaliteit te bereiken, als een gedeelde verantwoordelijkheid van ontwikkelingsstaten en donorstaten.  Het Comité merkt op dat in internationale bijeenkomsten om de voortgang te beoordelen, geconcludeerd wordt dat veel Staten die partij zijn problemen zullen krijgen bij het voldoen aan fundamentele economische en sociale rechten tenzij er extra middelen worden vrijgemaakt en daarbij meer efficiëntie wordt betracht.  Het Comité neemt in zijn beleidsdocument voor armoedebestrijding (Poverty Reduction Strategy Paper, PRSP) notitie van en stimuleert de pogingen om armoede te bestrijden in de landen met de grootste schulden.  Als de centrale, per land geleide strategie voor het behalen van de millenniumontwikkelingsdoelen, moet de focus in beleidsdocumenten voor armoedebestrijding sterk gericht zijn op kinderrechten.  Het Comité dringt er bij regeringen, donoren en de burgermaatschappij op aan ervoor te zorgen dat kinderen een prominente prioriteit vormen bij het opstellen van beleidsdocumenten voor armoedebestrijding en in een sectorbrede aanpak daarvan (sector-wide approach - SWAp).  Zowel beleidsdocumenten voor armoedebestrijding </w:t>
      </w:r>
      <w:r>
        <w:br w:type="page"/>
        <w:t>als SWAp's dienen de kinderrechtenbeginselen weer te geven met een holistische benadering die het kind centraal stelt, waarbij erkend wordt dat kinderen rechten hebben en waarin ontwikkelingsdoelen en -doelstellingen worden opgenomen die kinderen betreffen.</w:t>
      </w:r>
    </w:p>
    <w:p w14:paraId="3EC38884" w14:textId="77777777" w:rsidR="00C76659" w:rsidRDefault="0002466B">
      <w:pPr>
        <w:pStyle w:val="ParaNo"/>
        <w:tabs>
          <w:tab w:val="clear" w:pos="360"/>
        </w:tabs>
        <w:ind w:left="0" w:firstLine="0"/>
      </w:pPr>
      <w:r>
        <w:t>Het Comité stimuleert Staten die partij zijn waar nodig technische assistentie te bieden en te gebruiken bij de uitvoering van het Verdrag.  Het Kinderfonds van de Verenigde Naties (UNICEF), het kantoor van de Hoge Commissaris voor de Mensenrechten (ONHCR) en andere instanties van de Verenigde Naties en aan de Verenigde Naties verbonden instanties kunnen technische assistentie verlenen bij vele aspecten van de uitvoering.  Staten die partij zijn worden gestimuleerd vast te stellen of zij technische assistentie nodig hebben bij hun rapportages uit hoofde van het Verdrag.</w:t>
      </w:r>
    </w:p>
    <w:p w14:paraId="6E58F63C" w14:textId="77777777" w:rsidR="00C76659" w:rsidRDefault="0002466B">
      <w:pPr>
        <w:pStyle w:val="ParaNo"/>
        <w:tabs>
          <w:tab w:val="clear" w:pos="360"/>
        </w:tabs>
        <w:ind w:left="0" w:firstLine="0"/>
      </w:pPr>
      <w:r>
        <w:t>Bij hun bevordering van internationale samenwerking en technische assistentie dienen alle instanties van de Verenigde Naties en aan de Verenigde Naties verbonden instanties zich door het Verdrag te laten leiden en kinderrechten het voornaamste punt van aandacht maken bij al hun activiteiten.  Zij dienen te trachten waar dat binnen hun invloedssfeer ligt, te zorgen dat internationale samenwerking gericht is op ondersteunende Staten om aan hun verplichtingen in het kader van het Verdrag te voldoen.  Evenzo dienen de Wereldbank Groep, het Internationale Monetaire Fonds en de Wereld Handelsorganisatie ervoor te zorgen dat hun activiteiten op het gebied van internationale samenwerking en economische ontwikkeling op de eerste plaats rekening houden met de belangen van kinderen en de volledige tenuitvoerlegging van het Verdrag bevorderen.</w:t>
      </w:r>
    </w:p>
    <w:p w14:paraId="65EB442C" w14:textId="77777777" w:rsidR="00C76659" w:rsidRDefault="0002466B">
      <w:pPr>
        <w:pStyle w:val="Heading2"/>
      </w:pPr>
      <w:r>
        <w:t>K. Onafhankelijke mensenrechteninstellingen</w:t>
      </w:r>
    </w:p>
    <w:p w14:paraId="0DA326E0" w14:textId="77777777" w:rsidR="00C76659" w:rsidRDefault="0002466B">
      <w:pPr>
        <w:pStyle w:val="ParaNo"/>
        <w:tabs>
          <w:tab w:val="clear" w:pos="360"/>
        </w:tabs>
        <w:ind w:left="0" w:firstLine="0"/>
      </w:pPr>
      <w:r>
        <w:t>In zijn General Comment nr. 2 (2002) genaamd: "De rol van onafhankelijke mensenrechteninstellingen bij de bescherming en bevordering van de rechten van het kind” merkt het Comité op dat het "van mening is dat het instellen van dergelijke instanties valt onder de toezegging van Staten die partij zijn bij het Verdrag bij de bekrachtiging ervan dat zij de uitvoering van het Verdrag waarborgen en de universele verwezenlijking van kinderrechten bevorderen".  Onafhankelijke mensenrechteninstellingen zijn een aanvulling op effectieve overheidsstructuren voor kinderen; het essentiële element is onafhankelijkheid:  “Het is de rol van nationale mensenrechteninstellingen om onafhankelijk toezicht te houden op de naleving door de Staat die partij is en op de voortgang bij de uitvoering en alles in het werk te stellen om ervoor te zorgen dat de rechten van kinderen volledig worden gerespecteerd.   Hoewel dit de instelling kan verplichten projecten te ontwikkelen ter bevordering van de promotie en bescherming van kinderrechten, mag dit er niet toe leiden dat de overheid haar verplichtingen als toezichthouder aan de nationale instelling delegeert.  Het is essentieel dat instellingen volledig vrij blijven om hun eigen agenda en activiteiten te bepalen.”</w:t>
      </w:r>
      <w:r>
        <w:rPr>
          <w:rStyle w:val="EndnoteReference"/>
          <w:lang w:val="en-GB"/>
        </w:rPr>
        <w:endnoteReference w:id="19"/>
      </w:r>
      <w:r>
        <w:t xml:space="preserve">   General Comment nr. 2 biedt gedetailleerde begeleiding over de vestiging en werking van onafhankelijke mensenrechteninstellingen voor kinderen.</w:t>
      </w:r>
    </w:p>
    <w:p w14:paraId="47171F83" w14:textId="77777777" w:rsidR="00C76659" w:rsidRDefault="0002466B">
      <w:pPr>
        <w:pStyle w:val="Heading2"/>
      </w:pPr>
      <w:r>
        <w:t>Artikel 42:  Het Verdrag onder volwassenen en kinderen bekendheid geven</w:t>
      </w:r>
    </w:p>
    <w:p w14:paraId="5D20D102" w14:textId="77777777" w:rsidR="00C76659" w:rsidRDefault="0002466B">
      <w:pPr>
        <w:ind w:left="720"/>
      </w:pPr>
      <w:r>
        <w:tab/>
        <w:t xml:space="preserve">“De Staten die partij zijn verbinden zich ertoe de beginselen en de bepalingen van het Verdrag op passende en doeltreffende wijze algemeen bekend te maken, zowel aan volwassenen als aan kinderen.” </w:t>
      </w:r>
    </w:p>
    <w:p w14:paraId="4EFF338F" w14:textId="77777777" w:rsidR="00C76659" w:rsidRDefault="0002466B">
      <w:pPr>
        <w:pStyle w:val="ParaNo"/>
        <w:tabs>
          <w:tab w:val="clear" w:pos="360"/>
        </w:tabs>
        <w:ind w:left="0" w:firstLine="0"/>
      </w:pPr>
      <w:r>
        <w:t xml:space="preserve">Personen moeten weten wat hun rechten zijn.  Traditioneel worden kinderen in de meeste, zo niet in alle samenlevingen niet beschouwd als personen die rechten hebben.  Artikel 42 krijgt daarmee bijzonder belang.  Als de volwassenen in de omgeving van kinderen, hun ouders en andere familieleden, leerkrachten en zorgverleners </w:t>
      </w:r>
      <w:r>
        <w:br w:type="page"/>
        <w:t xml:space="preserve">de implicaties van het Verdrag niet begrijpen, en bovenal de bevestiging van het Verdrag van de gelijke status van kinderen als houders van rechten, is het hoogst onwaarschijnlijk dat de in het Verdrag omschreven rechten voor veel kinderen verwezenlijkt worden. </w:t>
      </w:r>
    </w:p>
    <w:p w14:paraId="2F69DC20" w14:textId="77777777" w:rsidR="00C76659" w:rsidRDefault="0002466B">
      <w:pPr>
        <w:pStyle w:val="ParaNo"/>
        <w:tabs>
          <w:tab w:val="clear" w:pos="360"/>
        </w:tabs>
        <w:ind w:left="0" w:firstLine="0"/>
      </w:pPr>
      <w:r>
        <w:t>Het Comité stelt voor dat Staten die partij zijn een allesomvattende strategie dienen te ontwikkelen voor het verspreiden van kennis in de gehele maatschappij.  Hieronder dient informatie over die instanties te vallen - zowel overheidsinstanties als onafhankelijke instanties - die betrokken zijn bij uitvoering en toezicht en over hoe er contact met ze kan worden opgenomen.  De tekst van het Verdrag moet op een zo laag mogelijk niveau breed beschikbaar zijn in alle talen (en het Comité adviseert officiële en niet-officiële vertalingen van het Verdrag door de OHCHR te verzamelen).  Er moet een strategie zijn voor het verspreiden van het Verdrag onder ongeletterde mensen.  UNICEF en ngo's hebben in veel Staten die partij zijn kindvriendelijke versies van het Verdrag ontwikkeld voor kinderen van diverse leeftijden - een proces dat het Comité toejuicht en stimuleert; deze dienen kinderen ook te informeren over hulp en adviesmogelijkheden.</w:t>
      </w:r>
    </w:p>
    <w:p w14:paraId="0B2E960A" w14:textId="77777777" w:rsidR="00C76659" w:rsidRDefault="0002466B">
      <w:pPr>
        <w:pStyle w:val="ParaNo"/>
        <w:tabs>
          <w:tab w:val="clear" w:pos="360"/>
        </w:tabs>
        <w:ind w:left="0" w:firstLine="0"/>
      </w:pPr>
      <w:r>
        <w:t>Kinderen moeten kennis krijgen van hun eigen rechten en het Comité legt speciale nadruk op het opnemen van lessen over het Verdrag en mensenrechten in het algemeen in het lesprogramma van scholen in alle stadia.  General Comment nr. 1 (2001) van het Comité genaamd "De doelstellingen van het onderwijs” (art. 29, par. 1) dient tezamen hiermee gelezen te worden.  Artikel 29, par.1 vereist dat het onderwijs van het kind gericht is op “de ontwikkeling van respect voor mensenrechten en fundamentele vrijheden [...]”.  Het General Comment onderstreept:  “"Mensenrechtenonderwijs dient informatie te verstrekken over de inhoud van mensenrechtenverdragen.  Maar kinderen dienen ook te leren over mensenrechten door te zien hoe mensenrechtennormen in de praktijk gehanteerd worden, of dat nu thuis is, op school of in hun gemeenschap.  Mensenrechtenonderwijs dient een allesomvattend levenslang proces te zijn en moet beginnen met de weergave van mensenrechtenwaarden in het dagelijks leven en de ervaringswereld van kinderen.”</w:t>
      </w:r>
      <w:r>
        <w:rPr>
          <w:rStyle w:val="EndnoteReference"/>
          <w:lang w:val="en-GB"/>
        </w:rPr>
        <w:endnoteReference w:id="20"/>
      </w:r>
      <w:r>
        <w:t xml:space="preserve">  </w:t>
      </w:r>
    </w:p>
    <w:p w14:paraId="153EAC04" w14:textId="77777777" w:rsidR="00C76659" w:rsidRDefault="0002466B">
      <w:pPr>
        <w:pStyle w:val="ParaNo"/>
        <w:tabs>
          <w:tab w:val="clear" w:pos="360"/>
        </w:tabs>
        <w:ind w:left="0" w:firstLine="0"/>
        <w:rPr>
          <w:szCs w:val="21"/>
        </w:rPr>
      </w:pPr>
      <w:r>
        <w:t>Evenzo dient leren over het Verdrag geïntegreerd te worden in de basisopleiding en latere bijscholing van al diegenen die met en voor kinderen werken (zie par. 53 hierboven).  Het Comité herinnert de Staten die partij zijn aan zijn aanbevelingen na de vergadering over de algemene uitvoeringsmaatregelen die gehouden werd ter herdenking van de tiende verjaardag van het Verdrag, waarbij het Comité in herinnering riep dat "verspreiding en bewustmaking van de rechten van het kind vooral effectief zijn als ze als een proces van sociale verandering, interactie en dialoog worden gezien en niet als preken.  Bewustmaking dient in alle sectoren van de maatschappij te gebeuren, ook van kinderen en jongeren.  Kinderen en ook adolescenten hebben het recht zoveel mogelijk als hun zich ontwikkelende capaciteiten dat toelaten deel te nemen aan de bewustmaking van hun rechten”.</w:t>
      </w:r>
      <w:r>
        <w:rPr>
          <w:rStyle w:val="EndnoteReference"/>
          <w:szCs w:val="21"/>
          <w:lang w:val="en-GB"/>
        </w:rPr>
        <w:endnoteReference w:id="21"/>
      </w:r>
      <w:r>
        <w:t xml:space="preserve">  </w:t>
      </w:r>
    </w:p>
    <w:p w14:paraId="2059D9A4" w14:textId="77777777" w:rsidR="00C76659" w:rsidRDefault="0002466B">
      <w:pPr>
        <w:ind w:left="720"/>
        <w:rPr>
          <w:szCs w:val="21"/>
        </w:rPr>
      </w:pPr>
      <w:r>
        <w:tab/>
        <w:t>"Het Comité adviseert alle pogingen training te bieden over de rechten van het kind praktisch, systematisch en als onderdeel van het reguliere beroepsonderwijs te laten plaatsvinden om de invloed ervan zo groot en blijvend mogelijk te laten zijn.  Voor onderwijs over mensenrechten dient gebruikgemaakt te worden van participatiemethoden en dienen professionals uitgerust te worden met vaardigheden en attitudes die hen in staat stellen interactie te hebben met kinderen en jongeren op een wijze die hun rechten, waardigheid en zelfrespect eerbiedigt.”</w:t>
      </w:r>
      <w:r>
        <w:rPr>
          <w:rStyle w:val="EndnoteReference"/>
          <w:szCs w:val="21"/>
        </w:rPr>
        <w:endnoteReference w:id="22"/>
      </w:r>
    </w:p>
    <w:p w14:paraId="31FF274B" w14:textId="77777777" w:rsidR="00C76659" w:rsidRDefault="0002466B">
      <w:pPr>
        <w:pStyle w:val="ParaNo"/>
        <w:tabs>
          <w:tab w:val="clear" w:pos="360"/>
        </w:tabs>
        <w:ind w:left="0" w:firstLine="0"/>
      </w:pPr>
      <w:r>
        <w:t>De media kunnen een cruciale rol vervullen bij de verspreiding van het Verdrag en de kennis en het begrip ervan en het Comité juicht hun vrijwillige betrokkenheid toe bij dit proces dat door overheden en ngo's gestimuleerd kan worden.</w:t>
      </w:r>
      <w:r>
        <w:rPr>
          <w:rStyle w:val="EndnoteReference"/>
          <w:lang w:val="en-GB"/>
        </w:rPr>
        <w:endnoteReference w:id="23"/>
      </w:r>
      <w:r>
        <w:t xml:space="preserve"> </w:t>
      </w:r>
    </w:p>
    <w:p w14:paraId="2493435C" w14:textId="77777777" w:rsidR="00C76659" w:rsidRDefault="0002466B">
      <w:pPr>
        <w:pStyle w:val="Heading2"/>
      </w:pPr>
      <w:r>
        <w:br w:type="page"/>
        <w:t>Artikel 44.6:  Het algemeen beschikbaar maken van rapporten die in het kader van het Verdrag zijn opgesteld</w:t>
      </w:r>
    </w:p>
    <w:p w14:paraId="408BF577" w14:textId="77777777" w:rsidR="00C76659" w:rsidRDefault="0002466B">
      <w:pPr>
        <w:ind w:left="720"/>
      </w:pPr>
      <w:r>
        <w:tab/>
        <w:t xml:space="preserve">“De Staten die partij zijn dragen er zorg voor dat hun rapporten algemeen beschikbaar zijn in hun land.”  </w:t>
      </w:r>
    </w:p>
    <w:p w14:paraId="5454B64A" w14:textId="77777777" w:rsidR="00C76659" w:rsidRDefault="0002466B">
      <w:pPr>
        <w:pStyle w:val="ParaNo"/>
        <w:tabs>
          <w:tab w:val="clear" w:pos="360"/>
        </w:tabs>
        <w:ind w:left="0" w:firstLine="0"/>
      </w:pPr>
      <w:r>
        <w:t>Als rapporten in het kader van het Verdrag de belangrijke rol moeten spelen die ze op nationaal niveau dienen te spelen in het uitvoeringsproces, dan dienen volwassenen en kinderen in de hele Staat die partij is daarover geïnformeerd te zijn.</w:t>
      </w:r>
      <w:r>
        <w:rPr>
          <w:i/>
          <w:iCs/>
          <w:szCs w:val="21"/>
        </w:rPr>
        <w:t xml:space="preserve">  </w:t>
      </w:r>
      <w:r>
        <w:t>Het rapportageproces biedt een unieke vorm van internationaal rekenschap afleggen voor hoe Staten die partij zijn omgaan met kinderen en hun rechten.</w:t>
      </w:r>
      <w:r>
        <w:rPr>
          <w:i/>
          <w:iCs/>
          <w:szCs w:val="21"/>
        </w:rPr>
        <w:t xml:space="preserve">  </w:t>
      </w:r>
      <w:r>
        <w:t xml:space="preserve">Maar tenzij die rapporten worden verspreid en constructief op nationaal niveau worden besproken, is het niet waarschijnlijk dat het proces substantieel van invloed zal zijn op het leven van kinderen. </w:t>
      </w:r>
    </w:p>
    <w:p w14:paraId="50E2097A" w14:textId="77777777" w:rsidR="00C76659" w:rsidRDefault="0002466B">
      <w:pPr>
        <w:pStyle w:val="ParaNo"/>
        <w:tabs>
          <w:tab w:val="clear" w:pos="360"/>
        </w:tabs>
        <w:ind w:left="0" w:firstLine="0"/>
      </w:pPr>
      <w:r>
        <w:t>Het Verdrag vereist expliciet van Staten die partij zijn dat zij hun rapporten breed bekendmaken aan het publiek; dit dient te gebeuren bij indiening bij het Comité.</w:t>
      </w:r>
      <w:r>
        <w:rPr>
          <w:i/>
          <w:iCs/>
          <w:szCs w:val="21"/>
        </w:rPr>
        <w:t xml:space="preserve">  </w:t>
      </w:r>
      <w:r>
        <w:t>Rapporten dienen werkelijk toegankelijk te zijn gemaakt, bijvoorbeeld doordat ze vertaald zijn in alle talen, in de juiste vorm zijn gesteld voor kinderen en voor mensen met beperkingen, enz.</w:t>
      </w:r>
      <w:r>
        <w:rPr>
          <w:i/>
          <w:iCs/>
          <w:szCs w:val="21"/>
        </w:rPr>
        <w:t xml:space="preserve">  </w:t>
      </w:r>
      <w:r>
        <w:t xml:space="preserve">Internet kan ook zeer bruikbaar zijn bij de verspreiding en er wordt sterk bij overheden en parlementen op aangedrongen die rapporten op hun websites te plaatsen.  </w:t>
      </w:r>
    </w:p>
    <w:p w14:paraId="0A9269EF" w14:textId="77777777" w:rsidR="00C76659" w:rsidRDefault="0002466B">
      <w:pPr>
        <w:pStyle w:val="ParaNo"/>
        <w:tabs>
          <w:tab w:val="clear" w:pos="360"/>
        </w:tabs>
        <w:spacing w:after="480"/>
        <w:ind w:left="0" w:firstLine="0"/>
      </w:pPr>
      <w:r>
        <w:t>Het Comité dringt er bij Staten die partij zijn op aan alle overige documentatie van het onderzoek van hun rapporten in het kader van het Verdrag breed beschikbaar te maken om een constructief debat te bevorderen en het uitvoeringsproces op alle niveaus te informeren.</w:t>
      </w:r>
      <w:r>
        <w:rPr>
          <w:i/>
          <w:iCs/>
          <w:szCs w:val="21"/>
        </w:rPr>
        <w:t xml:space="preserve">  </w:t>
      </w:r>
      <w:r>
        <w:t>Met name de concluderende opmerkingen van het Comité dienen onder de aandacht van het publiek en ook van kinderen gebracht te worden en dienen onderwerp van nauwgezet debat in het parlement te zijn.</w:t>
      </w:r>
      <w:r>
        <w:rPr>
          <w:i/>
          <w:iCs/>
          <w:szCs w:val="21"/>
        </w:rPr>
        <w:t xml:space="preserve">  </w:t>
      </w:r>
      <w:r>
        <w:t>Onafhankelijke mensenrechteninstellingen en ngo's kunnen een cruciale rol spelen door ondersteuning te bieden bij het waarborgen van een breed debat.</w:t>
      </w:r>
      <w:r>
        <w:rPr>
          <w:i/>
          <w:iCs/>
          <w:szCs w:val="21"/>
        </w:rPr>
        <w:t xml:space="preserve">  </w:t>
      </w:r>
      <w:r>
        <w:t xml:space="preserve">De beknopte verslagen van het onderzoek van overheidsvertegenwoordigers door het Comité helpen het proces en de eisen van het Comité te begrijpen en moeten ook beschikbaar worden gemaakt en besproken.  </w:t>
      </w:r>
    </w:p>
    <w:p w14:paraId="2DF6BCC8" w14:textId="77777777" w:rsidR="00C76659" w:rsidRDefault="0002466B">
      <w:pPr>
        <w:spacing w:after="0"/>
        <w:jc w:val="center"/>
        <w:rPr>
          <w:b/>
          <w:bCs/>
        </w:rPr>
        <w:sectPr w:rsidR="00C76659">
          <w:headerReference w:type="even" r:id="rId9"/>
          <w:headerReference w:type="default" r:id="rId10"/>
          <w:endnotePr>
            <w:numFmt w:val="decimal"/>
          </w:endnotePr>
          <w:type w:val="continuous"/>
          <w:pgSz w:w="11907" w:h="16840" w:code="9"/>
          <w:pgMar w:top="567" w:right="850" w:bottom="1984" w:left="1701" w:header="850" w:footer="1984" w:gutter="0"/>
          <w:cols w:space="720"/>
          <w:titlePg/>
          <w:docGrid w:linePitch="150"/>
        </w:sectPr>
      </w:pPr>
      <w:r>
        <w:rPr>
          <w:b/>
          <w:bCs/>
        </w:rPr>
        <w:t>Opmerkingen</w:t>
      </w:r>
    </w:p>
    <w:p w14:paraId="6DB51F04" w14:textId="77777777" w:rsidR="00C76659" w:rsidRDefault="0002466B">
      <w:pPr>
        <w:pStyle w:val="Heading2"/>
      </w:pPr>
      <w:r>
        <w:t>Bijlage I</w:t>
      </w:r>
    </w:p>
    <w:p w14:paraId="5873DEE7" w14:textId="3C5D1A8F" w:rsidR="00C76659" w:rsidRDefault="0002466B">
      <w:pPr>
        <w:pStyle w:val="Heading1"/>
      </w:pPr>
      <w:r>
        <w:t xml:space="preserve">BEKRACHTIGING VAN ANDERE BELANGRIJKE INTERNATONALE MENSENRECHTENVERDRAGEN </w:t>
      </w:r>
    </w:p>
    <w:p w14:paraId="703B26E5" w14:textId="77777777" w:rsidR="00C76659" w:rsidRDefault="0002466B">
      <w:r>
        <w:tab/>
        <w:t xml:space="preserve">Zoals aangegeven in paragraaf 17 van dit General Comment, dringt het Comité er, als onderdeel van zijn beschouwing van algemene uitvoeringsmaatregelen en in het licht van de beginselen van ondeelbaarheid en onderlinge afhankelijkheid van mensenrechten, consequent bij Staten die partij zijn op aan om, als zij dit nog niet hebben gedaan, de twee Facultatieve Protocollen bij het Verdrag inzake de rechten van het kind (over de betrokkenheid van kinderen bij gewapende conflicten en over de verkoop van kinderen, kinderprostitutie en kinderpornografie) te bekrachtigen, evenals de zes andere grote internationale mensenrechtenverdragen.  Tijdens zijn dialoog met de Staten die partij zijn moedigt het Comité deze vaak aan om te overwegen andere relevante internationale verdragen te bekrachtigen.  Een niet-uitputtende lijst van deze verdragen wordt in de bijlage gegeven.  Het Comité zal deze lijst van tijd tot tijd bijwerken. </w:t>
      </w:r>
    </w:p>
    <w:p w14:paraId="28501D5F" w14:textId="77777777" w:rsidR="00C76659" w:rsidRDefault="0002466B">
      <w:pPr>
        <w:numPr>
          <w:ilvl w:val="0"/>
          <w:numId w:val="25"/>
        </w:numPr>
        <w:rPr>
          <w:bCs/>
        </w:rPr>
      </w:pPr>
      <w:r>
        <w:t>Facultatief Protocol bij het Internationaal Verdrag inzake burgerrechten en politieke rechten;</w:t>
      </w:r>
    </w:p>
    <w:p w14:paraId="24839ADB" w14:textId="77777777" w:rsidR="00C76659" w:rsidRDefault="0002466B">
      <w:pPr>
        <w:numPr>
          <w:ilvl w:val="0"/>
          <w:numId w:val="25"/>
        </w:numPr>
      </w:pPr>
      <w:r>
        <w:t>Tweede Facultatief Protocol bij het Internationaal Verdrag inzake burgerrechten en politieke rechten, gericht op de afschaffing van de doodstraf;</w:t>
      </w:r>
    </w:p>
    <w:p w14:paraId="67D89920" w14:textId="77777777" w:rsidR="00C76659" w:rsidRDefault="0002466B">
      <w:pPr>
        <w:numPr>
          <w:ilvl w:val="0"/>
          <w:numId w:val="25"/>
        </w:numPr>
      </w:pPr>
      <w:r>
        <w:t>Facultatief Protocol bij het Verdrag inzake de uitbanning van alle vormen van discriminatie van vrouwen;</w:t>
      </w:r>
    </w:p>
    <w:p w14:paraId="7B774B18" w14:textId="77777777" w:rsidR="00C76659" w:rsidRDefault="0002466B">
      <w:pPr>
        <w:numPr>
          <w:ilvl w:val="0"/>
          <w:numId w:val="25"/>
        </w:numPr>
      </w:pPr>
      <w:r>
        <w:t>Facultatief Protocol bij het Verdrag tegen foltering en andere wrede, onmenselijke en onterende behandeling of bestraffing;</w:t>
      </w:r>
    </w:p>
    <w:p w14:paraId="2A88DC32" w14:textId="77777777" w:rsidR="00C76659" w:rsidRDefault="0002466B">
      <w:pPr>
        <w:numPr>
          <w:ilvl w:val="0"/>
          <w:numId w:val="25"/>
        </w:numPr>
      </w:pPr>
      <w:r>
        <w:t>Verdrag tegen discriminatie in het onderwijs;</w:t>
      </w:r>
    </w:p>
    <w:p w14:paraId="5F742308" w14:textId="77777777" w:rsidR="00C76659" w:rsidRDefault="0002466B">
      <w:pPr>
        <w:numPr>
          <w:ilvl w:val="0"/>
          <w:numId w:val="25"/>
        </w:numPr>
      </w:pPr>
      <w:r>
        <w:t>Verdrag Internationale Arbeidsorganisatie (ILO) nr. 29 betreffende de gedwongen arbeid, 1930;</w:t>
      </w:r>
    </w:p>
    <w:p w14:paraId="0570E4F1" w14:textId="77777777" w:rsidR="00C76659" w:rsidRDefault="0002466B">
      <w:pPr>
        <w:numPr>
          <w:ilvl w:val="0"/>
          <w:numId w:val="25"/>
        </w:numPr>
      </w:pPr>
      <w:r>
        <w:t>ILO-Verdrag nr.105 inzake de afschaffing van gedwongen arbeid, 1957;</w:t>
      </w:r>
    </w:p>
    <w:p w14:paraId="570BAEC4" w14:textId="77777777" w:rsidR="00C76659" w:rsidRDefault="0002466B">
      <w:pPr>
        <w:numPr>
          <w:ilvl w:val="0"/>
          <w:numId w:val="25"/>
        </w:numPr>
      </w:pPr>
      <w:r>
        <w:t>ILO-Verdrag nr. 138 met betrekking tot de minimum arbeidsgerechtigde leeftijd, 1973;</w:t>
      </w:r>
    </w:p>
    <w:p w14:paraId="763C7E66" w14:textId="77777777" w:rsidR="00C76659" w:rsidRDefault="0002466B">
      <w:pPr>
        <w:numPr>
          <w:ilvl w:val="0"/>
          <w:numId w:val="25"/>
        </w:numPr>
      </w:pPr>
      <w:r>
        <w:t xml:space="preserve">ILO-Verdrag nr. 182 betreffende de ergste vormen van kinderarbeid, 1999; </w:t>
      </w:r>
    </w:p>
    <w:p w14:paraId="09CA1029" w14:textId="77777777" w:rsidR="00C76659" w:rsidRDefault="0002466B">
      <w:pPr>
        <w:numPr>
          <w:ilvl w:val="0"/>
          <w:numId w:val="25"/>
        </w:numPr>
      </w:pPr>
      <w:r>
        <w:t>ILO-Verdrag nr. 183 ter bescherming van moederschap, 2000;</w:t>
      </w:r>
    </w:p>
    <w:p w14:paraId="27DAA72C" w14:textId="77777777" w:rsidR="00C76659" w:rsidRDefault="0002466B">
      <w:pPr>
        <w:numPr>
          <w:ilvl w:val="0"/>
          <w:numId w:val="25"/>
        </w:numPr>
      </w:pPr>
      <w:r>
        <w:t>Verdrag met betrekking tot de status van vluchtelingen van 1951, gewijzigd door het Protocol; met betrekking tot de status van vluchtelingen van 1967;</w:t>
      </w:r>
    </w:p>
    <w:p w14:paraId="0A4C1842" w14:textId="77777777" w:rsidR="00C76659" w:rsidRDefault="0002466B">
      <w:pPr>
        <w:numPr>
          <w:ilvl w:val="0"/>
          <w:numId w:val="25"/>
        </w:numPr>
      </w:pPr>
      <w:r>
        <w:t>Verdrag inzake de afschaffing van mensenhandel en van de exploitatie van prostitutie van anderen (1949);</w:t>
      </w:r>
    </w:p>
    <w:p w14:paraId="244B4437" w14:textId="77777777" w:rsidR="00C76659" w:rsidRDefault="0002466B">
      <w:pPr>
        <w:numPr>
          <w:ilvl w:val="0"/>
          <w:numId w:val="25"/>
        </w:numPr>
      </w:pPr>
      <w:r>
        <w:t xml:space="preserve">Verdrag inzake de slavernij (1926); </w:t>
      </w:r>
    </w:p>
    <w:p w14:paraId="7684BA35" w14:textId="77777777" w:rsidR="00C76659" w:rsidRDefault="0002466B">
      <w:pPr>
        <w:numPr>
          <w:ilvl w:val="0"/>
          <w:numId w:val="25"/>
        </w:numPr>
      </w:pPr>
      <w:r>
        <w:t>Protocol ter wijziging van het Slavernijverdrag (1953);</w:t>
      </w:r>
    </w:p>
    <w:p w14:paraId="5CE8875A" w14:textId="77777777" w:rsidR="00C76659" w:rsidRDefault="0002466B">
      <w:pPr>
        <w:numPr>
          <w:ilvl w:val="0"/>
          <w:numId w:val="25"/>
        </w:numPr>
      </w:pPr>
      <w:r>
        <w:t xml:space="preserve">Aanvullend Verdrag inzake de afschaffing van de slavernij, de slavenhandel en met slavernij gelijk te stellen instellingen en praktijken (1956); </w:t>
      </w:r>
    </w:p>
    <w:p w14:paraId="5F9D6A86" w14:textId="77777777" w:rsidR="00C76659" w:rsidRDefault="0002466B">
      <w:pPr>
        <w:numPr>
          <w:ilvl w:val="0"/>
          <w:numId w:val="25"/>
        </w:numPr>
      </w:pPr>
      <w:r>
        <w:t>Protocol inzake de voorkoming, bestrijding en bestraffing van mensenhandel, in het bijzonder vrouwenhandel en kinderhandel, tot aanvulling van het Verdrag van de Verenigde Naties tegen grensoverschrijdende georganiseerde misdaad (2000);</w:t>
      </w:r>
    </w:p>
    <w:p w14:paraId="350C86EC" w14:textId="77777777" w:rsidR="00C76659" w:rsidRDefault="0002466B">
      <w:pPr>
        <w:numPr>
          <w:ilvl w:val="0"/>
          <w:numId w:val="25"/>
        </w:numPr>
      </w:pPr>
      <w:r>
        <w:t>Het Verdrag van Genève betreffende de bescherming van burgers in oorlogstijd;</w:t>
      </w:r>
    </w:p>
    <w:p w14:paraId="3CA0E952" w14:textId="77777777" w:rsidR="00C76659" w:rsidRDefault="0002466B">
      <w:pPr>
        <w:numPr>
          <w:ilvl w:val="0"/>
          <w:numId w:val="25"/>
        </w:numPr>
      </w:pPr>
      <w:r>
        <w:t>Aanvullend Protocol bij de Verdragen van Genève van 12 augustus 1949 betreffende de bescherming van de slachtoffers van internationale gewapende conflicten (Protocol I);</w:t>
      </w:r>
    </w:p>
    <w:p w14:paraId="0423C39D" w14:textId="77777777" w:rsidR="00C76659" w:rsidRDefault="0002466B">
      <w:pPr>
        <w:numPr>
          <w:ilvl w:val="0"/>
          <w:numId w:val="25"/>
        </w:numPr>
      </w:pPr>
      <w:r>
        <w:t xml:space="preserve">Aanvullend Protocol bij de Verdragen van Genève van 12 augustus 1949 betreffende de bescherming van slachtoffers van niet-internationale gewapende conflicten (Protocol II); </w:t>
      </w:r>
    </w:p>
    <w:p w14:paraId="6B1402D3" w14:textId="77777777" w:rsidR="00C76659" w:rsidRDefault="0002466B">
      <w:pPr>
        <w:numPr>
          <w:ilvl w:val="0"/>
          <w:numId w:val="25"/>
        </w:numPr>
      </w:pPr>
      <w:r>
        <w:t>Verdrag inzake het verbod van het gebruik, de aanleg van voorraden, de productie en de overdracht van antipersoneelmijnen en inzake de vernietiging van deze wapens;</w:t>
      </w:r>
    </w:p>
    <w:p w14:paraId="79BD399B" w14:textId="77777777" w:rsidR="00C76659" w:rsidRDefault="0002466B">
      <w:pPr>
        <w:numPr>
          <w:ilvl w:val="0"/>
          <w:numId w:val="25"/>
        </w:numPr>
      </w:pPr>
      <w:r>
        <w:t>Statuut van het Internationaal Strafhof;</w:t>
      </w:r>
    </w:p>
    <w:p w14:paraId="6B57F14F" w14:textId="77777777" w:rsidR="00C76659" w:rsidRDefault="0002466B">
      <w:pPr>
        <w:numPr>
          <w:ilvl w:val="0"/>
          <w:numId w:val="25"/>
        </w:numPr>
      </w:pPr>
      <w:r>
        <w:t>Verdrag van Den Haag inzake de internationale samenwerking en de bescherming van kinderen op het gebied van de interlandelijke adoptie;</w:t>
      </w:r>
    </w:p>
    <w:p w14:paraId="27D1433C" w14:textId="77777777" w:rsidR="00C76659" w:rsidRDefault="0002466B">
      <w:pPr>
        <w:numPr>
          <w:ilvl w:val="0"/>
          <w:numId w:val="25"/>
        </w:numPr>
      </w:pPr>
      <w:r>
        <w:t>Verdrag van Den Haag betreffende de burgerrechtelijke aspecten van internationale ontvoering van kinderen;</w:t>
      </w:r>
    </w:p>
    <w:p w14:paraId="220D1F0E" w14:textId="77777777" w:rsidR="00C76659" w:rsidRDefault="0002466B">
      <w:pPr>
        <w:numPr>
          <w:ilvl w:val="0"/>
          <w:numId w:val="25"/>
        </w:numPr>
      </w:pPr>
      <w:r>
        <w:t>Verdrag van Den Haag van 1996 inzake de bevoegdheid, het toepasselijke recht, de erkenning, de tenuitvoerlegging en de samenwerking op het gebied van ouderlijke verantwoordelijkheid en maatregelen ter bescherming van kinderen.</w:t>
      </w:r>
    </w:p>
    <w:p w14:paraId="6C6D0FC9" w14:textId="77777777" w:rsidR="00C76659" w:rsidRDefault="0002466B">
      <w:pPr>
        <w:jc w:val="center"/>
      </w:pPr>
      <w:r>
        <w:t>-----</w:t>
      </w:r>
    </w:p>
    <w:sectPr w:rsidR="00C76659">
      <w:headerReference w:type="even" r:id="rId11"/>
      <w:headerReference w:type="default" r:id="rId12"/>
      <w:headerReference w:type="first" r:id="rId13"/>
      <w:endnotePr>
        <w:numFmt w:val="decimal"/>
      </w:endnotePr>
      <w:pgSz w:w="11907" w:h="16840" w:code="9"/>
      <w:pgMar w:top="567" w:right="851" w:bottom="1985" w:left="1701" w:header="851" w:footer="1985"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7F89" w14:textId="77777777" w:rsidR="00C76659" w:rsidRDefault="00C76659">
      <w:pPr>
        <w:pStyle w:val="Footer"/>
        <w:spacing w:after="0"/>
      </w:pPr>
    </w:p>
  </w:endnote>
  <w:endnote w:type="continuationSeparator" w:id="0">
    <w:p w14:paraId="169B4DB8" w14:textId="77777777" w:rsidR="00C76659" w:rsidRDefault="00C76659">
      <w:pPr>
        <w:spacing w:after="0"/>
      </w:pPr>
    </w:p>
  </w:endnote>
  <w:endnote w:type="continuationNotice" w:id="1">
    <w:p w14:paraId="4E8DB6F6" w14:textId="77777777" w:rsidR="00C76659" w:rsidRDefault="00C76659">
      <w:pPr>
        <w:spacing w:after="0"/>
      </w:pPr>
    </w:p>
  </w:endnote>
  <w:endnote w:id="2">
    <w:p w14:paraId="2C964C62" w14:textId="77777777" w:rsidR="00C76659" w:rsidRDefault="0002466B">
      <w:pPr>
        <w:pStyle w:val="EndnoteText"/>
      </w:pPr>
      <w:r>
        <w:rPr>
          <w:rStyle w:val="EndnoteReference"/>
        </w:rPr>
        <w:endnoteRef/>
      </w:r>
      <w:r>
        <w:t xml:space="preserve"> Het Comité herinnert Staten die partij zijn eraan dat een kind in het kader van het Verdrag wordt omschreven als “ieder mens jonger dan 18 jaar tenzij meerderjarigheid eerder bereikt wordt volgens de wet die van toepassing is op het kind” (art. 1).</w:t>
      </w:r>
    </w:p>
  </w:endnote>
  <w:endnote w:id="3">
    <w:p w14:paraId="1CFD1C4D" w14:textId="77777777" w:rsidR="00C76659" w:rsidRDefault="0002466B">
      <w:pPr>
        <w:pStyle w:val="EndnoteText"/>
      </w:pPr>
      <w:r>
        <w:rPr>
          <w:rStyle w:val="EndnoteReference"/>
        </w:rPr>
        <w:endnoteRef/>
      </w:r>
      <w:r>
        <w:t xml:space="preserve"> In 1999 organiseerde het Comité voor de Rechten van het Kind een tweedaagse workshop ter gelegenheid van de tiende verjaardag van de goedkeuring van het Verdrag inzake de rechten van het kind door de Algemene Vergadering van de Verenigde Naties.  De workshop was gericht op algemene uitvoeringsmaatregelen waarna het Comité gedetailleerde conclusies en aanbevelingen aannam (zie CRC/C/90, par. 291).</w:t>
      </w:r>
    </w:p>
  </w:endnote>
  <w:endnote w:id="4">
    <w:p w14:paraId="35338180" w14:textId="77777777" w:rsidR="00C76659" w:rsidRDefault="0002466B">
      <w:pPr>
        <w:pStyle w:val="EndnoteText"/>
      </w:pPr>
      <w:r>
        <w:rPr>
          <w:rStyle w:val="EndnoteReference"/>
        </w:rPr>
        <w:endnoteRef/>
      </w:r>
      <w:r>
        <w:t xml:space="preserve"> Algemene Richtlijnen met betrekking tot vorm en inhoud van door Staten die partij zijn in te dienen eerste rapportages ingevolge artikel 44, lid 1, onder a) van het Verdrag, CRC/C/5, 15 oktober 1991; Algemene Richtlijnen met betrekking tot de vorm en inhoud van in te dienen periodieke rapportages ingevolge artikel 44, lid 1, onder b) van het Verdrag inzake de rechten van het kind, CRC/C/58, 20 november 1996.</w:t>
      </w:r>
    </w:p>
  </w:endnote>
  <w:endnote w:id="5">
    <w:p w14:paraId="13FBE8F0" w14:textId="77777777" w:rsidR="00C76659" w:rsidRDefault="0002466B">
      <w:pPr>
        <w:pStyle w:val="EndnoteText"/>
      </w:pPr>
      <w:r>
        <w:rPr>
          <w:rStyle w:val="EndnoteReference"/>
        </w:rPr>
        <w:endnoteRef/>
      </w:r>
      <w:r>
        <w:t xml:space="preserve"> Comité voor de Rechten van de Mens, General Comment nr. 3 (dertiende zitting, 1981), </w:t>
      </w:r>
      <w:r>
        <w:rPr>
          <w:i/>
          <w:iCs/>
        </w:rPr>
        <w:t>Artikel 2:  Uitvoering op nationaal niveau</w:t>
      </w:r>
      <w:r>
        <w:t xml:space="preserve">; Comité voor Economische, Sociale en Culturele Rechten, General Comment nr. 3 (vijfde zitting, 1990), </w:t>
      </w:r>
      <w:r>
        <w:rPr>
          <w:i/>
        </w:rPr>
        <w:t xml:space="preserve">De aard van de verplichtingen van Staten die partij zijn </w:t>
      </w:r>
      <w:r>
        <w:rPr>
          <w:i/>
          <w:iCs/>
        </w:rPr>
        <w:t xml:space="preserve">(artikel 2, lid 1, </w:t>
      </w:r>
      <w:r>
        <w:rPr>
          <w:i/>
        </w:rPr>
        <w:t>van het</w:t>
      </w:r>
      <w:r>
        <w:t xml:space="preserve"> </w:t>
      </w:r>
      <w:r>
        <w:rPr>
          <w:i/>
        </w:rPr>
        <w:t>Verdrag</w:t>
      </w:r>
      <w:r>
        <w:t xml:space="preserve">); ook General Comment nr. 9 (negentiende zitting, 1998), </w:t>
      </w:r>
      <w:r>
        <w:rPr>
          <w:i/>
        </w:rPr>
        <w:t>De toepassing van het Verdrag in de eigen Staat</w:t>
      </w:r>
      <w:r>
        <w:rPr>
          <w:i/>
          <w:iCs/>
        </w:rPr>
        <w:t>,</w:t>
      </w:r>
      <w:r>
        <w:t xml:space="preserve"> gaat verder in op bepaalde elementen in General Comment nr. 3.  Een compendium van de General Comments en aanbevelingen van de verdragsorganen wordt regelmatig gepubliceerd door het Bureau van de Hoge Commissaris voor de Rechten van de Mens (HRI/GEN/1/Rev.6).</w:t>
      </w:r>
    </w:p>
  </w:endnote>
  <w:endnote w:id="6">
    <w:p w14:paraId="42240612" w14:textId="77777777" w:rsidR="00C76659" w:rsidRDefault="0002466B">
      <w:pPr>
        <w:pStyle w:val="EndnoteText"/>
      </w:pPr>
      <w:r>
        <w:rPr>
          <w:rStyle w:val="EndnoteReference"/>
        </w:rPr>
        <w:endnoteRef/>
      </w:r>
      <w:r>
        <w:t xml:space="preserve"> General Comment nr. 3, HRI/GEN/1/Rev.6, par. 11, p. 16.</w:t>
      </w:r>
    </w:p>
  </w:endnote>
  <w:endnote w:id="7">
    <w:p w14:paraId="7B09B3EE" w14:textId="77777777" w:rsidR="00C76659" w:rsidRDefault="0002466B">
      <w:pPr>
        <w:pStyle w:val="EndnoteText"/>
      </w:pPr>
      <w:r>
        <w:rPr>
          <w:rStyle w:val="EndnoteReference"/>
        </w:rPr>
        <w:endnoteRef/>
      </w:r>
      <w:r>
        <w:t xml:space="preserve"> Comité voor de Rechten van de Mens, General Comment nr. 18 (1989), HRI/GEN/1/Rev.6, pp. 147 e.v.</w:t>
      </w:r>
    </w:p>
  </w:endnote>
  <w:endnote w:id="8">
    <w:p w14:paraId="3E48B808" w14:textId="77777777" w:rsidR="00C76659" w:rsidRDefault="0002466B">
      <w:pPr>
        <w:pStyle w:val="EndnoteText"/>
      </w:pPr>
      <w:r>
        <w:rPr>
          <w:rStyle w:val="EndnoteReference"/>
        </w:rPr>
        <w:endnoteRef/>
      </w:r>
      <w:r>
        <w:t xml:space="preserve"> Algemene Richtlijnen met betrekking tot de vorm en inhoud van periodieke rapportages die door Staten die partij zijn dienen te worden ingediend op grond van artikel 44.1b van het Verdrag inzake de rechten van het kind, CRC/C/58, 20 november 1996, lid 11.</w:t>
      </w:r>
    </w:p>
  </w:endnote>
  <w:endnote w:id="9">
    <w:p w14:paraId="06C8ED71" w14:textId="77777777" w:rsidR="00C76659" w:rsidRDefault="0002466B">
      <w:pPr>
        <w:pStyle w:val="EndnoteText"/>
      </w:pPr>
      <w:r>
        <w:rPr>
          <w:rStyle w:val="EndnoteReference"/>
        </w:rPr>
        <w:endnoteRef/>
      </w:r>
      <w:r>
        <w:t xml:space="preserve"> Wereldconferentie over mensenrechten, Wenen, 14-25 juni 1993, “Verklaring van Wenen en Actieprogramma”, A/CONF.157/23.</w:t>
      </w:r>
    </w:p>
  </w:endnote>
  <w:endnote w:id="10">
    <w:p w14:paraId="6549B60E" w14:textId="77777777" w:rsidR="00C76659" w:rsidRDefault="0002466B">
      <w:pPr>
        <w:pStyle w:val="EndnoteText"/>
      </w:pPr>
      <w:r>
        <w:rPr>
          <w:rStyle w:val="EndnoteReference"/>
        </w:rPr>
        <w:endnoteRef/>
      </w:r>
      <w:r>
        <w:t xml:space="preserve"> Wereldtop voor Kinderen, “Wereldverklaring inzake Overleven, Bescherming en Ontwikkeling van Kinderen en Actieplan voor Uitvoering van de Wereldverklaring inzake Overleven, Bescherming en Ontwikkeling van Kinderen in de negentiger jaren", CF/WSC/1990/WS-001, Verenigde Naties, New York, 30 september 1990.</w:t>
      </w:r>
    </w:p>
  </w:endnote>
  <w:endnote w:id="11">
    <w:p w14:paraId="57DA2528" w14:textId="77777777" w:rsidR="00C76659" w:rsidRDefault="0002466B">
      <w:pPr>
        <w:pStyle w:val="EndnoteText"/>
      </w:pPr>
      <w:r>
        <w:rPr>
          <w:rStyle w:val="EndnoteReference"/>
        </w:rPr>
        <w:endnoteRef/>
      </w:r>
      <w:r>
        <w:t xml:space="preserve"> Wereldconferentie over mensenrechten, Wenen, 14-25 juni 1993, “Verklaring van Wenen en Actieprogramma”, A/CONF.157/23.</w:t>
      </w:r>
    </w:p>
  </w:endnote>
  <w:endnote w:id="12">
    <w:p w14:paraId="66D042D9" w14:textId="77777777" w:rsidR="00C76659" w:rsidRDefault="0002466B">
      <w:pPr>
        <w:pStyle w:val="EndnoteText"/>
      </w:pPr>
      <w:r>
        <w:rPr>
          <w:rStyle w:val="EndnoteReference"/>
        </w:rPr>
        <w:endnoteRef/>
      </w:r>
      <w:r>
        <w:t xml:space="preserve"> </w:t>
      </w:r>
      <w:r>
        <w:rPr>
          <w:i/>
        </w:rPr>
        <w:t xml:space="preserve"> Een wereld geschikt voor kinderen</w:t>
      </w:r>
      <w:r>
        <w:t>, slotdocument van de bijzondere zitting over kinderen van de Algemene Vergadering van de Verenigde Naties, 2002, par. 59.</w:t>
      </w:r>
    </w:p>
  </w:endnote>
  <w:endnote w:id="13">
    <w:p w14:paraId="5EA17E6F" w14:textId="77777777" w:rsidR="00C76659" w:rsidRDefault="0002466B">
      <w:pPr>
        <w:pStyle w:val="EndnoteText"/>
      </w:pPr>
      <w:r>
        <w:rPr>
          <w:rStyle w:val="EndnoteReference"/>
        </w:rPr>
        <w:endnoteRef/>
      </w:r>
      <w:r>
        <w:t xml:space="preserve"> Ibid., par. 61(a).</w:t>
      </w:r>
    </w:p>
  </w:endnote>
  <w:endnote w:id="14">
    <w:p w14:paraId="747C4EF9" w14:textId="77777777" w:rsidR="00C76659" w:rsidRDefault="0002466B">
      <w:pPr>
        <w:pStyle w:val="EndnoteText"/>
      </w:pPr>
      <w:r>
        <w:rPr>
          <w:rStyle w:val="EndnoteReference"/>
        </w:rPr>
        <w:endnoteRef/>
      </w:r>
      <w:r>
        <w:t xml:space="preserve"> Comité voor de Rechten van het Kind, Rapport eenendertigste zitting, september</w:t>
      </w:r>
      <w:r>
        <w:noBreakHyphen/>
        <w:t>oktober 2002, dag van algemene bespreking over “De private sector als dienstverlener en zijn rol bij de tenuitvoerlegging van kinderrechten”, par. 630-653.</w:t>
      </w:r>
    </w:p>
  </w:endnote>
  <w:endnote w:id="15">
    <w:p w14:paraId="5FEEA0D0" w14:textId="77777777" w:rsidR="00C76659" w:rsidRDefault="0002466B">
      <w:pPr>
        <w:pStyle w:val="EndnoteText"/>
      </w:pPr>
      <w:r>
        <w:rPr>
          <w:rStyle w:val="EndnoteReference"/>
        </w:rPr>
        <w:endnoteRef/>
      </w:r>
      <w:r>
        <w:t xml:space="preserve"> Algemene Richtlijnen met betrekking tot de vorm en inhoud van periodieke rapportages die door Staten die partij zijn dienen te worden ingediend op grond van artikel 44.1b van het Verdrag inzake de rechten van het kind, CRC/C/58, 20 november 1996, lid 20.</w:t>
      </w:r>
    </w:p>
  </w:endnote>
  <w:endnote w:id="16">
    <w:p w14:paraId="609C3D3A" w14:textId="77777777" w:rsidR="00C76659" w:rsidRDefault="0002466B">
      <w:pPr>
        <w:pStyle w:val="EndnoteText"/>
      </w:pPr>
      <w:r>
        <w:rPr>
          <w:rStyle w:val="EndnoteReference"/>
        </w:rPr>
        <w:endnoteRef/>
      </w:r>
      <w:r>
        <w:t xml:space="preserve"> Ibid., par. 3.</w:t>
      </w:r>
    </w:p>
  </w:endnote>
  <w:endnote w:id="17">
    <w:p w14:paraId="64E5C8F6" w14:textId="77777777" w:rsidR="00C76659" w:rsidRDefault="0002466B">
      <w:pPr>
        <w:pStyle w:val="EndnoteText"/>
      </w:pPr>
      <w:r>
        <w:rPr>
          <w:rStyle w:val="EndnoteReference"/>
        </w:rPr>
        <w:endnoteRef/>
      </w:r>
      <w:r>
        <w:t xml:space="preserve"> De volgende artikelen van het Verdrag hebben expliciet betrekking op internationale samenwerking:  artikel 7.2; 11.2; 17b; 21e; 22.2; 23.4; 24.4; 27.4; 28.3; 34.5.</w:t>
      </w:r>
    </w:p>
  </w:endnote>
  <w:endnote w:id="18">
    <w:p w14:paraId="5E5B7EF9" w14:textId="77777777" w:rsidR="00C76659" w:rsidRDefault="0002466B">
      <w:r>
        <w:rPr>
          <w:rStyle w:val="EndnoteReference"/>
        </w:rPr>
        <w:endnoteRef/>
      </w:r>
      <w:r>
        <w:t xml:space="preserve"> Rapport van de Internationale Conferentie over Ontwikkelingsfinanciering, Monterrey, Mexico, 18</w:t>
      </w:r>
      <w:r>
        <w:noBreakHyphen/>
        <w:t>22 maart 2002 (A/Conf.198/11).</w:t>
      </w:r>
    </w:p>
  </w:endnote>
  <w:endnote w:id="19">
    <w:p w14:paraId="77230F17" w14:textId="77777777" w:rsidR="00C76659" w:rsidRDefault="0002466B">
      <w:pPr>
        <w:pStyle w:val="EndnoteText"/>
      </w:pPr>
      <w:r>
        <w:rPr>
          <w:rStyle w:val="EndnoteReference"/>
        </w:rPr>
        <w:endnoteRef/>
      </w:r>
      <w:r>
        <w:t xml:space="preserve"> HRI/GEN/1/Rev. 6, par. 25, p. 295.</w:t>
      </w:r>
    </w:p>
  </w:endnote>
  <w:endnote w:id="20">
    <w:p w14:paraId="1706D022" w14:textId="77777777" w:rsidR="00C76659" w:rsidRDefault="0002466B">
      <w:pPr>
        <w:pStyle w:val="EndnoteText"/>
      </w:pPr>
      <w:r>
        <w:rPr>
          <w:rStyle w:val="EndnoteReference"/>
        </w:rPr>
        <w:endnoteRef/>
      </w:r>
      <w:r>
        <w:t xml:space="preserve"> Ibid., par. 15, p. 286.</w:t>
      </w:r>
    </w:p>
  </w:endnote>
  <w:endnote w:id="21">
    <w:p w14:paraId="7B6B55AE" w14:textId="77777777" w:rsidR="00C76659" w:rsidRDefault="0002466B">
      <w:pPr>
        <w:pStyle w:val="EndnoteText"/>
      </w:pPr>
      <w:r>
        <w:rPr>
          <w:rStyle w:val="EndnoteReference"/>
        </w:rPr>
        <w:endnoteRef/>
      </w:r>
      <w:r>
        <w:t xml:space="preserve"> Zie CRC/C/90, par. 291 (k).</w:t>
      </w:r>
    </w:p>
  </w:endnote>
  <w:endnote w:id="22">
    <w:p w14:paraId="5FC2F04A" w14:textId="77777777" w:rsidR="00C76659" w:rsidRDefault="0002466B">
      <w:pPr>
        <w:pStyle w:val="EndnoteText"/>
      </w:pPr>
      <w:r>
        <w:rPr>
          <w:rStyle w:val="EndnoteReference"/>
        </w:rPr>
        <w:endnoteRef/>
      </w:r>
      <w:r>
        <w:t xml:space="preserve"> Ibid., par. 291 (l).</w:t>
      </w:r>
    </w:p>
  </w:endnote>
  <w:endnote w:id="23">
    <w:p w14:paraId="54893F4B" w14:textId="77777777" w:rsidR="00C76659" w:rsidRDefault="0002466B">
      <w:pPr>
        <w:pStyle w:val="EndnoteText"/>
      </w:pPr>
      <w:r>
        <w:rPr>
          <w:rStyle w:val="EndnoteReference"/>
        </w:rPr>
        <w:endnoteRef/>
      </w:r>
      <w:r>
        <w:t xml:space="preserve"> Het Comité organiseerde in 1996 een dag van algemene besprekingen over het thema “Het kind en de media”, met gedetailleerde aanbevelingen (zie CRC/C/57, par. 242 e.v.).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52AF" w14:textId="77777777" w:rsidR="00C76659" w:rsidRDefault="0002466B">
      <w:pPr>
        <w:spacing w:after="0"/>
      </w:pPr>
      <w:r>
        <w:separator/>
      </w:r>
    </w:p>
  </w:footnote>
  <w:footnote w:type="continuationSeparator" w:id="0">
    <w:p w14:paraId="42C9E342" w14:textId="77777777" w:rsidR="00C76659" w:rsidRDefault="0002466B">
      <w:pPr>
        <w:spacing w:after="0"/>
        <w:rPr>
          <w:u w:val="single"/>
        </w:rPr>
      </w:pPr>
      <w:r>
        <w:rPr>
          <w:u w:val="single"/>
        </w:rPr>
        <w:tab/>
      </w:r>
      <w:r>
        <w:rPr>
          <w:u w:val="single"/>
        </w:rPr>
        <w:tab/>
      </w:r>
      <w:r>
        <w:rPr>
          <w:u w:val="single"/>
        </w:rPr>
        <w:tab/>
      </w:r>
      <w:r>
        <w:rPr>
          <w:u w:val="single"/>
        </w:rPr>
        <w:tab/>
      </w:r>
    </w:p>
  </w:footnote>
  <w:footnote w:type="continuationNotice" w:id="1">
    <w:p w14:paraId="2CCDA524" w14:textId="77777777" w:rsidR="00C76659" w:rsidRDefault="00C766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B3F6" w14:textId="77777777" w:rsidR="00C76659" w:rsidRDefault="0002466B">
    <w:pPr>
      <w:pStyle w:val="Header"/>
      <w:spacing w:after="0"/>
    </w:pPr>
    <w:r>
      <w:t>CRC/GC/2003/5</w:t>
    </w:r>
  </w:p>
  <w:p w14:paraId="7483CA0B" w14:textId="77777777" w:rsidR="00C76659" w:rsidRDefault="0002466B">
    <w:pPr>
      <w:pStyle w:val="Header"/>
      <w:spacing w:after="0"/>
    </w:pPr>
    <w:r>
      <w:t xml:space="preserve">pagina </w:t>
    </w:r>
    <w:r>
      <w:fldChar w:fldCharType="begin"/>
    </w:r>
    <w:r>
      <w:instrText xml:space="preserve"> PAGE  \* MERGEFORMAT </w:instrText>
    </w:r>
    <w:r>
      <w:fldChar w:fldCharType="separate"/>
    </w:r>
    <w:r>
      <w:t>8</w:t>
    </w:r>
    <w:r>
      <w:fldChar w:fldCharType="end"/>
    </w:r>
  </w:p>
  <w:p w14:paraId="7EEAF490" w14:textId="77777777" w:rsidR="00C76659" w:rsidRDefault="00C76659">
    <w:pPr>
      <w:pStyle w:val="Header"/>
      <w:spacing w:after="0"/>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2482" w14:textId="77777777" w:rsidR="00C76659" w:rsidRDefault="0002466B">
    <w:pPr>
      <w:pStyle w:val="Header"/>
      <w:tabs>
        <w:tab w:val="clear" w:pos="4320"/>
        <w:tab w:val="clear" w:pos="8640"/>
        <w:tab w:val="left" w:pos="5828"/>
        <w:tab w:val="left" w:pos="6650"/>
      </w:tabs>
      <w:spacing w:after="0"/>
    </w:pPr>
    <w:r>
      <w:tab/>
    </w:r>
    <w:r>
      <w:tab/>
      <w:t>CRC/GC/2003/5</w:t>
    </w:r>
  </w:p>
  <w:p w14:paraId="2364713C" w14:textId="77777777" w:rsidR="00C76659" w:rsidRDefault="0002466B">
    <w:pPr>
      <w:pStyle w:val="Header"/>
      <w:tabs>
        <w:tab w:val="clear" w:pos="4320"/>
        <w:tab w:val="clear" w:pos="8640"/>
        <w:tab w:val="left" w:pos="5828"/>
        <w:tab w:val="left" w:pos="6650"/>
      </w:tabs>
      <w:spacing w:after="0"/>
    </w:pPr>
    <w:r>
      <w:tab/>
    </w:r>
    <w:r>
      <w:tab/>
      <w:t xml:space="preserve">pagina </w:t>
    </w:r>
    <w:r>
      <w:fldChar w:fldCharType="begin"/>
    </w:r>
    <w:r>
      <w:instrText xml:space="preserve"> PAGE  \* MERGEFORMAT </w:instrText>
    </w:r>
    <w:r>
      <w:fldChar w:fldCharType="separate"/>
    </w:r>
    <w:r>
      <w:t>7</w:t>
    </w:r>
    <w:r>
      <w:fldChar w:fldCharType="end"/>
    </w:r>
  </w:p>
  <w:p w14:paraId="5F58D4C0" w14:textId="77777777" w:rsidR="00C76659" w:rsidRDefault="00C76659">
    <w:pPr>
      <w:pStyle w:val="Header"/>
      <w:tabs>
        <w:tab w:val="clear" w:pos="4320"/>
        <w:tab w:val="clear" w:pos="8640"/>
        <w:tab w:val="left" w:pos="5828"/>
        <w:tab w:val="left" w:pos="6650"/>
      </w:tabs>
      <w:spacing w:after="0"/>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B709" w14:textId="77777777" w:rsidR="00C76659" w:rsidRDefault="0002466B">
    <w:pPr>
      <w:pStyle w:val="Header"/>
      <w:spacing w:after="0"/>
    </w:pPr>
    <w:r>
      <w:t>CRC/GC/2003/5</w:t>
    </w:r>
  </w:p>
  <w:p w14:paraId="00AF9FE0" w14:textId="77777777" w:rsidR="00C76659" w:rsidRDefault="0002466B">
    <w:pPr>
      <w:pStyle w:val="Header"/>
      <w:spacing w:after="0"/>
    </w:pPr>
    <w:r>
      <w:t xml:space="preserve">pagina </w:t>
    </w:r>
    <w:r>
      <w:fldChar w:fldCharType="begin"/>
    </w:r>
    <w:r>
      <w:instrText xml:space="preserve"> PAGE  \* MERGEFORMAT </w:instrText>
    </w:r>
    <w:r>
      <w:fldChar w:fldCharType="separate"/>
    </w:r>
    <w:r>
      <w:t>20</w:t>
    </w:r>
    <w:r>
      <w:fldChar w:fldCharType="end"/>
    </w:r>
  </w:p>
  <w:p w14:paraId="6C95126A" w14:textId="77777777" w:rsidR="00C76659" w:rsidRDefault="00C76659">
    <w:pPr>
      <w:pStyle w:val="Header"/>
      <w:spacing w:after="0"/>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2073B" w14:textId="77777777" w:rsidR="00C76659" w:rsidRDefault="0002466B">
    <w:pPr>
      <w:pStyle w:val="Header"/>
      <w:tabs>
        <w:tab w:val="clear" w:pos="4320"/>
        <w:tab w:val="clear" w:pos="8640"/>
        <w:tab w:val="left" w:pos="5828"/>
        <w:tab w:val="left" w:pos="6650"/>
      </w:tabs>
      <w:spacing w:after="0"/>
    </w:pPr>
    <w:r>
      <w:tab/>
    </w:r>
    <w:r>
      <w:tab/>
      <w:t>CRC/GC/2003/5</w:t>
    </w:r>
  </w:p>
  <w:p w14:paraId="66AC6B67" w14:textId="77777777" w:rsidR="00C76659" w:rsidRDefault="0002466B">
    <w:pPr>
      <w:pStyle w:val="Header"/>
      <w:tabs>
        <w:tab w:val="clear" w:pos="4320"/>
        <w:tab w:val="clear" w:pos="8640"/>
        <w:tab w:val="left" w:pos="5828"/>
        <w:tab w:val="left" w:pos="6650"/>
      </w:tabs>
      <w:spacing w:after="0"/>
    </w:pPr>
    <w:r>
      <w:tab/>
    </w:r>
    <w:r>
      <w:tab/>
      <w:t xml:space="preserve">pagina </w:t>
    </w:r>
    <w:r>
      <w:fldChar w:fldCharType="begin"/>
    </w:r>
    <w:r>
      <w:instrText xml:space="preserve"> PAGE  \* MERGEFORMAT </w:instrText>
    </w:r>
    <w:r>
      <w:fldChar w:fldCharType="separate"/>
    </w:r>
    <w:r>
      <w:t>21</w:t>
    </w:r>
    <w:r>
      <w:fldChar w:fldCharType="end"/>
    </w:r>
  </w:p>
  <w:p w14:paraId="7FA129C1" w14:textId="77777777" w:rsidR="00C76659" w:rsidRDefault="00C76659">
    <w:pPr>
      <w:pStyle w:val="Header"/>
      <w:tabs>
        <w:tab w:val="clear" w:pos="4320"/>
        <w:tab w:val="clear" w:pos="8640"/>
        <w:tab w:val="left" w:pos="5828"/>
        <w:tab w:val="left" w:pos="6650"/>
      </w:tabs>
      <w:spacing w:after="0"/>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28A7" w14:textId="77777777" w:rsidR="00C76659" w:rsidRDefault="00C76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CB6628A"/>
    <w:lvl w:ilvl="0">
      <w:start w:val="1"/>
      <w:numFmt w:val="decimal"/>
      <w:lvlText w:val="%1."/>
      <w:lvlJc w:val="left"/>
      <w:pPr>
        <w:tabs>
          <w:tab w:val="num" w:pos="1209"/>
        </w:tabs>
        <w:ind w:left="1209" w:hanging="360"/>
      </w:pPr>
    </w:lvl>
  </w:abstractNum>
  <w:abstractNum w:abstractNumId="1"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B3F49C6"/>
    <w:multiLevelType w:val="singleLevel"/>
    <w:tmpl w:val="DE16A8C2"/>
    <w:lvl w:ilvl="0">
      <w:start w:val="1"/>
      <w:numFmt w:val="lowerRoman"/>
      <w:pStyle w:val="Rom2"/>
      <w:lvlText w:val="(%1)"/>
      <w:lvlJc w:val="right"/>
      <w:pPr>
        <w:tabs>
          <w:tab w:val="num" w:pos="2160"/>
        </w:tabs>
        <w:ind w:left="2160" w:hanging="516"/>
      </w:pPr>
    </w:lvl>
  </w:abstractNum>
  <w:abstractNum w:abstractNumId="3"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5"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6"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7"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9" w15:restartNumberingAfterBreak="0">
    <w:nsid w:val="67FB526C"/>
    <w:multiLevelType w:val="hybridMultilevel"/>
    <w:tmpl w:val="75EC4580"/>
    <w:lvl w:ilvl="0" w:tplc="FA261F8C">
      <w:start w:val="1"/>
      <w:numFmt w:val="bullet"/>
      <w:lvlText w:val=""/>
      <w:lvlJc w:val="left"/>
      <w:pPr>
        <w:tabs>
          <w:tab w:val="num" w:pos="1074"/>
        </w:tabs>
        <w:ind w:left="1071" w:hanging="357"/>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CF349BD"/>
    <w:multiLevelType w:val="singleLevel"/>
    <w:tmpl w:val="B61AAC56"/>
    <w:lvl w:ilvl="0">
      <w:start w:val="1"/>
      <w:numFmt w:val="lowerRoman"/>
      <w:pStyle w:val="Rom1"/>
      <w:lvlText w:val="(%1)"/>
      <w:lvlJc w:val="right"/>
      <w:pPr>
        <w:tabs>
          <w:tab w:val="num" w:pos="1440"/>
        </w:tabs>
        <w:ind w:left="1440" w:hanging="589"/>
      </w:pPr>
      <w:rPr>
        <w:rFonts w:hint="default"/>
      </w:rPr>
    </w:lvl>
  </w:abstractNum>
  <w:abstractNum w:abstractNumId="1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2"/>
  </w:num>
  <w:num w:numId="3">
    <w:abstractNumId w:val="11"/>
  </w:num>
  <w:num w:numId="4">
    <w:abstractNumId w:val="2"/>
  </w:num>
  <w:num w:numId="5">
    <w:abstractNumId w:val="1"/>
  </w:num>
  <w:num w:numId="6">
    <w:abstractNumId w:val="3"/>
  </w:num>
  <w:num w:numId="7">
    <w:abstractNumId w:val="5"/>
  </w:num>
  <w:num w:numId="8">
    <w:abstractNumId w:val="10"/>
  </w:num>
  <w:num w:numId="9">
    <w:abstractNumId w:val="7"/>
  </w:num>
  <w:num w:numId="10">
    <w:abstractNumId w:val="12"/>
  </w:num>
  <w:num w:numId="11">
    <w:abstractNumId w:val="5"/>
  </w:num>
  <w:num w:numId="12">
    <w:abstractNumId w:val="6"/>
  </w:num>
  <w:num w:numId="13">
    <w:abstractNumId w:val="6"/>
  </w:num>
  <w:num w:numId="14">
    <w:abstractNumId w:val="8"/>
  </w:num>
  <w:num w:numId="15">
    <w:abstractNumId w:val="4"/>
  </w:num>
  <w:num w:numId="16">
    <w:abstractNumId w:val="4"/>
  </w:num>
  <w:num w:numId="17">
    <w:abstractNumId w:val="11"/>
  </w:num>
  <w:num w:numId="18">
    <w:abstractNumId w:val="2"/>
  </w:num>
  <w:num w:numId="19">
    <w:abstractNumId w:val="0"/>
  </w:num>
  <w:num w:numId="20">
    <w:abstractNumId w:val="11"/>
  </w:num>
  <w:num w:numId="21">
    <w:abstractNumId w:val="2"/>
  </w:num>
  <w:num w:numId="22">
    <w:abstractNumId w:val="4"/>
  </w:num>
  <w:num w:numId="23">
    <w:abstractNumId w:val="4"/>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evenAndOddHeaders/>
  <w:drawingGridHorizontalSpacing w:val="55"/>
  <w:drawingGridVerticalSpacing w:val="75"/>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6B"/>
    <w:rsid w:val="0002466B"/>
    <w:rsid w:val="00662C8C"/>
    <w:rsid w:val="00C7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E0FBE19"/>
  <w15:chartTrackingRefBased/>
  <w15:docId w15:val="{E608DF7B-4347-47F0-81A2-79A3F901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om1">
    <w:name w:val="Rom1"/>
    <w:basedOn w:val="Normal"/>
    <w:pPr>
      <w:numPr>
        <w:numId w:val="20"/>
      </w:numPr>
      <w:ind w:left="1441" w:hanging="590"/>
    </w:pPr>
  </w:style>
  <w:style w:type="paragraph" w:customStyle="1" w:styleId="Rom2">
    <w:name w:val="Rom2"/>
    <w:basedOn w:val="Normal"/>
    <w:pPr>
      <w:numPr>
        <w:numId w:val="21"/>
      </w:numPr>
    </w:pPr>
  </w:style>
  <w:style w:type="paragraph" w:customStyle="1" w:styleId="ParaNo">
    <w:name w:val="ParaNo."/>
    <w:basedOn w:val="Normal"/>
    <w:pPr>
      <w:numPr>
        <w:numId w:val="16"/>
      </w:numPr>
      <w:tabs>
        <w:tab w:val="left" w:pos="737"/>
      </w:tabs>
    </w:pPr>
  </w:style>
  <w:style w:type="character" w:styleId="FootnoteReference">
    <w:name w:val="footnote reference"/>
    <w:basedOn w:val="DefaultParagraphFont"/>
    <w:semiHidden/>
    <w:rPr>
      <w:b/>
      <w:vertAlign w:val="superscript"/>
    </w:rPr>
  </w:style>
  <w:style w:type="paragraph" w:styleId="FootnoteText">
    <w:name w:val="footnote text"/>
    <w:basedOn w:val="Normal"/>
    <w:semiHidden/>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basedOn w:val="DefaultParagraphFont"/>
    <w:semiHidden/>
    <w:rPr>
      <w:b/>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OFFI2000\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26</Pages>
  <Words>10400</Words>
  <Characters>57205</Characters>
  <Application>Microsoft Office Word</Application>
  <DocSecurity>0</DocSecurity>
  <Lines>476</Lines>
  <Paragraphs>134</Paragraphs>
  <ScaleCrop>false</ScaleCrop>
  <HeadingPairs>
    <vt:vector size="6" baseType="variant">
      <vt:variant>
        <vt:lpstr>Titel</vt:lpstr>
      </vt:variant>
      <vt:variant>
        <vt:i4>1</vt:i4>
      </vt:variant>
      <vt:variant>
        <vt:lpstr>Title</vt:lpstr>
      </vt:variant>
      <vt:variant>
        <vt:i4>1</vt:i4>
      </vt:variant>
      <vt:variant>
        <vt:lpstr>Headings</vt:lpstr>
      </vt:variant>
      <vt:variant>
        <vt:i4>25</vt:i4>
      </vt:variant>
    </vt:vector>
  </HeadingPairs>
  <TitlesOfParts>
    <vt:vector size="27" baseType="lpstr">
      <vt:lpstr>0345514</vt:lpstr>
      <vt:lpstr>0345514</vt:lpstr>
      <vt:lpstr>GENERAL COMMENT No. 5 (2003)</vt:lpstr>
      <vt:lpstr>    General measures of implementation of the Convention on  the Rights of the Child</vt:lpstr>
      <vt:lpstr>FOREWORD</vt:lpstr>
      <vt:lpstr>    Article 4</vt:lpstr>
      <vt:lpstr>I.  INTRODUCTION</vt:lpstr>
      <vt:lpstr>II.  REVIEW OF RESERVATIONS</vt:lpstr>
      <vt:lpstr>III.	RATIFICATION OF OTHER KEY INTERNATIONAL  HUMAN RIGHTS INSTRUMENTS </vt:lpstr>
      <vt:lpstr>IV.  LEGISLATIVE MEASURES</vt:lpstr>
      <vt:lpstr>V.  JUSTICIABILITY OF RIGHTS</vt:lpstr>
      <vt:lpstr>VI.  ADMINISTRATIVE AND OTHER MEASURES</vt:lpstr>
      <vt:lpstr>    A.  Developing a comprehensive national strategy rooted in the Convention</vt:lpstr>
      <vt:lpstr>    B.  Coordination of implementation of children’s rights</vt:lpstr>
      <vt:lpstr>    C.  Decentralization, federalization and delegation</vt:lpstr>
      <vt:lpstr>    D.  Privatization</vt:lpstr>
      <vt:lpstr>    E.	Monitoring implementation - the need for  child impact assessment and evaluat</vt:lpstr>
      <vt:lpstr>    F.  Data collection and analysis and development of indicators </vt:lpstr>
      <vt:lpstr>    G.  Making children visible in budgets </vt:lpstr>
      <vt:lpstr>    H.  Training and capacity-building</vt:lpstr>
      <vt:lpstr>    I.  Cooperation with civil society </vt:lpstr>
      <vt:lpstr>    J.  International cooperation</vt:lpstr>
      <vt:lpstr>    K.  Independent human rights institutions</vt:lpstr>
      <vt:lpstr>    Article 42:  Making the Convention known to adults and children</vt:lpstr>
      <vt:lpstr>    Article 44 (6):  Making reports under the Convention widely available</vt:lpstr>
      <vt:lpstr>    Annex I</vt:lpstr>
      <vt:lpstr>RATIFICATION OF OTHER KEY INTERNATIONAL HUMAN RIGHTS INSTRUMENTS </vt:lpstr>
    </vt:vector>
  </TitlesOfParts>
  <Company>ONU</Company>
  <LinksUpToDate>false</LinksUpToDate>
  <CharactersWithSpaces>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0345514</dc:title>
  <dc:subject/>
  <dc:creator>PACIS MAMANGUN</dc:creator>
  <cp:keywords>CRC/GC/2003/5</cp:keywords>
  <dc:description>FINAL</dc:description>
  <cp:lastModifiedBy>Loes Hartman</cp:lastModifiedBy>
  <cp:revision>3</cp:revision>
  <cp:lastPrinted>2003-11-28T14:22:00Z</cp:lastPrinted>
  <dcterms:created xsi:type="dcterms:W3CDTF">2019-05-10T15:46:00Z</dcterms:created>
  <dcterms:modified xsi:type="dcterms:W3CDTF">2019-11-14T11:27:00Z</dcterms:modified>
</cp:coreProperties>
</file>