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D23C7" w14:paraId="3329B52E" w14:textId="77777777">
        <w:trPr>
          <w:trHeight w:val="851"/>
        </w:trPr>
        <w:tc>
          <w:tcPr>
            <w:tcW w:w="1259" w:type="dxa"/>
            <w:tcBorders>
              <w:top w:val="nil"/>
              <w:left w:val="nil"/>
              <w:bottom w:val="single" w:sz="4" w:space="0" w:color="auto"/>
              <w:right w:val="nil"/>
            </w:tcBorders>
          </w:tcPr>
          <w:p w14:paraId="7EDC8482" w14:textId="77777777" w:rsidR="004D23C7" w:rsidRDefault="004D23C7" w:rsidP="004D23C7">
            <w:pPr>
              <w:spacing w:after="80" w:line="340" w:lineRule="exact"/>
            </w:pPr>
          </w:p>
        </w:tc>
        <w:tc>
          <w:tcPr>
            <w:tcW w:w="2236" w:type="dxa"/>
            <w:tcBorders>
              <w:top w:val="nil"/>
              <w:left w:val="nil"/>
              <w:bottom w:val="single" w:sz="4" w:space="0" w:color="auto"/>
              <w:right w:val="nil"/>
            </w:tcBorders>
            <w:vAlign w:val="bottom"/>
          </w:tcPr>
          <w:p w14:paraId="6CD4610A" w14:textId="77777777" w:rsidR="004D23C7" w:rsidRPr="000A6C0E" w:rsidRDefault="004D23C7" w:rsidP="004D23C7">
            <w:pPr>
              <w:spacing w:after="80" w:line="340" w:lineRule="exact"/>
              <w:rPr>
                <w:b/>
                <w:sz w:val="28"/>
                <w:szCs w:val="28"/>
              </w:rPr>
            </w:pPr>
            <w:r>
              <w:rPr>
                <w:b/>
                <w:sz w:val="28"/>
                <w:szCs w:val="28"/>
              </w:rPr>
              <w:t>United Nations</w:t>
            </w:r>
          </w:p>
        </w:tc>
        <w:tc>
          <w:tcPr>
            <w:tcW w:w="6144" w:type="dxa"/>
            <w:gridSpan w:val="2"/>
            <w:tcBorders>
              <w:top w:val="nil"/>
              <w:left w:val="nil"/>
              <w:bottom w:val="single" w:sz="4" w:space="0" w:color="auto"/>
              <w:right w:val="nil"/>
            </w:tcBorders>
            <w:vAlign w:val="bottom"/>
          </w:tcPr>
          <w:p w14:paraId="2A9BB98A" w14:textId="77777777" w:rsidR="004D23C7" w:rsidRPr="00942BE3" w:rsidRDefault="004D23C7" w:rsidP="004D23C7">
            <w:pPr>
              <w:jc w:val="right"/>
            </w:pPr>
            <w:r>
              <w:rPr>
                <w:sz w:val="40"/>
              </w:rPr>
              <w:t>CRC</w:t>
            </w:r>
            <w:r>
              <w:t>/C/GC/16</w:t>
            </w:r>
          </w:p>
        </w:tc>
      </w:tr>
      <w:tr w:rsidR="004D23C7" w:rsidRPr="003D5DE0" w14:paraId="4CD50492" w14:textId="77777777">
        <w:trPr>
          <w:trHeight w:val="2835"/>
        </w:trPr>
        <w:tc>
          <w:tcPr>
            <w:tcW w:w="1259" w:type="dxa"/>
            <w:tcBorders>
              <w:top w:val="single" w:sz="4" w:space="0" w:color="auto"/>
              <w:left w:val="nil"/>
              <w:bottom w:val="single" w:sz="12" w:space="0" w:color="auto"/>
              <w:right w:val="nil"/>
            </w:tcBorders>
          </w:tcPr>
          <w:p w14:paraId="62187B94" w14:textId="77777777" w:rsidR="004D23C7" w:rsidRDefault="00B91C21" w:rsidP="004D23C7">
            <w:pPr>
              <w:spacing w:before="120"/>
              <w:jc w:val="center"/>
            </w:pPr>
            <w:r>
              <w:rPr>
                <w:noProof/>
              </w:rPr>
              <w:drawing>
                <wp:inline distT="0" distB="0" distL="0" distR="0" wp14:anchorId="445CAC84" wp14:editId="325316C0">
                  <wp:extent cx="714375" cy="590550"/>
                  <wp:effectExtent l="0" t="0" r="0" b="0"/>
                  <wp:docPr id="1" name="Afbeelding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049BCBF" w14:textId="77777777" w:rsidR="004D23C7" w:rsidRPr="003D5DE0" w:rsidRDefault="004D23C7" w:rsidP="004D23C7">
            <w:pPr>
              <w:spacing w:before="120" w:line="420" w:lineRule="exact"/>
              <w:rPr>
                <w:b/>
                <w:sz w:val="40"/>
                <w:szCs w:val="40"/>
                <w:lang w:val="en-GB"/>
              </w:rPr>
            </w:pPr>
            <w:r w:rsidRPr="003D5DE0">
              <w:rPr>
                <w:b/>
                <w:sz w:val="40"/>
                <w:szCs w:val="40"/>
                <w:lang w:val="en-GB"/>
              </w:rPr>
              <w:t>Convention on the Rights of the Child</w:t>
            </w:r>
          </w:p>
        </w:tc>
        <w:tc>
          <w:tcPr>
            <w:tcW w:w="2930" w:type="dxa"/>
            <w:tcBorders>
              <w:top w:val="single" w:sz="4" w:space="0" w:color="auto"/>
              <w:left w:val="nil"/>
              <w:bottom w:val="single" w:sz="12" w:space="0" w:color="auto"/>
              <w:right w:val="nil"/>
            </w:tcBorders>
          </w:tcPr>
          <w:p w14:paraId="07DADF61" w14:textId="77777777" w:rsidR="004D23C7" w:rsidRPr="003D5DE0" w:rsidRDefault="004D23C7" w:rsidP="004D23C7">
            <w:pPr>
              <w:spacing w:before="240" w:line="240" w:lineRule="exact"/>
              <w:rPr>
                <w:lang w:val="en-GB"/>
              </w:rPr>
            </w:pPr>
            <w:r w:rsidRPr="003D5DE0">
              <w:rPr>
                <w:lang w:val="en-GB"/>
              </w:rPr>
              <w:t>Distr.: General</w:t>
            </w:r>
          </w:p>
          <w:p w14:paraId="72B8469B" w14:textId="77777777" w:rsidR="004D23C7" w:rsidRPr="003D5DE0" w:rsidRDefault="00C628F8" w:rsidP="004D23C7">
            <w:pPr>
              <w:spacing w:line="240" w:lineRule="exact"/>
              <w:rPr>
                <w:lang w:val="en-GB"/>
              </w:rPr>
            </w:pPr>
            <w:r w:rsidRPr="003D5DE0">
              <w:rPr>
                <w:lang w:val="en-GB"/>
              </w:rPr>
              <w:t>17 April 2013</w:t>
            </w:r>
          </w:p>
          <w:p w14:paraId="22799542" w14:textId="77777777" w:rsidR="004D23C7" w:rsidRPr="003D5DE0" w:rsidRDefault="004D23C7" w:rsidP="004D23C7">
            <w:pPr>
              <w:spacing w:line="240" w:lineRule="exact"/>
              <w:rPr>
                <w:lang w:val="en-GB"/>
              </w:rPr>
            </w:pPr>
          </w:p>
          <w:p w14:paraId="2D5FBCA6" w14:textId="77777777" w:rsidR="004D23C7" w:rsidRPr="003D5DE0" w:rsidRDefault="004D23C7" w:rsidP="004D23C7">
            <w:pPr>
              <w:spacing w:line="240" w:lineRule="exact"/>
              <w:rPr>
                <w:lang w:val="en-GB"/>
              </w:rPr>
            </w:pPr>
            <w:r w:rsidRPr="003D5DE0">
              <w:rPr>
                <w:lang w:val="en-GB"/>
              </w:rPr>
              <w:t>Original: English</w:t>
            </w:r>
          </w:p>
        </w:tc>
      </w:tr>
    </w:tbl>
    <w:p w14:paraId="231D2DD5" w14:textId="77777777" w:rsidR="004D23C7" w:rsidRPr="00417398" w:rsidRDefault="004D23C7" w:rsidP="00705660">
      <w:pPr>
        <w:spacing w:before="120"/>
        <w:rPr>
          <w:b/>
        </w:rPr>
      </w:pPr>
      <w:r>
        <w:rPr>
          <w:b/>
          <w:sz w:val="24"/>
          <w:szCs w:val="24"/>
        </w:rPr>
        <w:t>Comité voor de rechten van het kind</w:t>
      </w:r>
    </w:p>
    <w:p w14:paraId="31740139" w14:textId="77777777" w:rsidR="004D23C7" w:rsidRPr="004B7FCC" w:rsidRDefault="004D23C7" w:rsidP="00705660">
      <w:pPr>
        <w:pStyle w:val="HMG"/>
        <w:rPr>
          <w:rFonts w:eastAsia="Calibri"/>
        </w:rPr>
      </w:pPr>
      <w:bookmarkStart w:id="0" w:name="_Toc285724519"/>
      <w:bookmarkStart w:id="1" w:name="_Toc285724579"/>
      <w:bookmarkStart w:id="2" w:name="_Toc285724726"/>
      <w:bookmarkStart w:id="3" w:name="_Toc285724983"/>
      <w:r>
        <w:tab/>
      </w:r>
      <w:r>
        <w:tab/>
      </w:r>
      <w:bookmarkStart w:id="4" w:name="_Toc285723364"/>
      <w:r>
        <w:t>General Comment nr. 16 (2013)</w:t>
      </w:r>
      <w:bookmarkEnd w:id="4"/>
      <w:bookmarkEnd w:id="0"/>
      <w:bookmarkEnd w:id="1"/>
      <w:bookmarkEnd w:id="2"/>
      <w:bookmarkEnd w:id="3"/>
      <w:r>
        <w:t xml:space="preserve"> over de verplichtingen van Staten met betrekking tot de impact van het bedrijfsleven op de rechten van het kind</w:t>
      </w:r>
      <w:r>
        <w:rPr>
          <w:rStyle w:val="FootnoteReference"/>
          <w:rFonts w:eastAsia="Calibri"/>
          <w:sz w:val="20"/>
          <w:vertAlign w:val="baseline"/>
        </w:rPr>
        <w:tab/>
      </w:r>
    </w:p>
    <w:p w14:paraId="4A5FAE10" w14:textId="77777777" w:rsidR="004D23C7" w:rsidRDefault="004D23C7" w:rsidP="004D23C7">
      <w:pPr>
        <w:rPr>
          <w:rFonts w:eastAsia="Calibri"/>
          <w:sz w:val="28"/>
        </w:rPr>
      </w:pPr>
      <w:r>
        <w:br w:type="page"/>
      </w:r>
      <w:r>
        <w:rPr>
          <w:sz w:val="28"/>
        </w:rPr>
        <w:lastRenderedPageBreak/>
        <w:footnoteReference w:customMarkFollows="1" w:id="2"/>
        <w:t>Inhoud</w:t>
      </w:r>
    </w:p>
    <w:p w14:paraId="53A58B28" w14:textId="77777777" w:rsidR="004D23C7" w:rsidRDefault="004D23C7" w:rsidP="004D23C7">
      <w:pPr>
        <w:tabs>
          <w:tab w:val="right" w:pos="8929"/>
          <w:tab w:val="right" w:pos="9638"/>
        </w:tabs>
        <w:spacing w:after="120"/>
        <w:ind w:left="283"/>
        <w:rPr>
          <w:rFonts w:eastAsia="Calibri"/>
        </w:rPr>
      </w:pPr>
      <w:r>
        <w:rPr>
          <w:i/>
          <w:sz w:val="18"/>
        </w:rPr>
        <w:tab/>
        <w:t>Paragraaf</w:t>
      </w:r>
      <w:r>
        <w:rPr>
          <w:i/>
          <w:sz w:val="18"/>
        </w:rPr>
        <w:tab/>
        <w:t>Pagina</w:t>
      </w:r>
    </w:p>
    <w:p w14:paraId="10D8543A" w14:textId="77777777" w:rsidR="004D23C7" w:rsidRPr="00894337" w:rsidRDefault="004D23C7" w:rsidP="004D23C7">
      <w:pPr>
        <w:tabs>
          <w:tab w:val="right" w:pos="850"/>
          <w:tab w:val="left" w:pos="1134"/>
          <w:tab w:val="left" w:pos="1559"/>
          <w:tab w:val="left" w:pos="1984"/>
          <w:tab w:val="left" w:leader="dot" w:pos="7654"/>
          <w:tab w:val="right" w:pos="8929"/>
          <w:tab w:val="right" w:pos="9638"/>
        </w:tabs>
        <w:spacing w:after="120"/>
        <w:rPr>
          <w:bCs/>
        </w:rPr>
      </w:pPr>
      <w:r>
        <w:tab/>
        <w:t>I.</w:t>
      </w:r>
      <w:r>
        <w:tab/>
        <w:t>Inleiding en doelstellingen</w:t>
      </w:r>
      <w:r>
        <w:tab/>
      </w:r>
      <w:r>
        <w:tab/>
        <w:t>1–7</w:t>
      </w:r>
      <w:r>
        <w:tab/>
        <w:t>3</w:t>
      </w:r>
    </w:p>
    <w:p w14:paraId="5623EE9D" w14:textId="77777777" w:rsidR="004D23C7" w:rsidRPr="00894337" w:rsidRDefault="004D23C7" w:rsidP="004D23C7">
      <w:pPr>
        <w:tabs>
          <w:tab w:val="right" w:pos="850"/>
          <w:tab w:val="left" w:pos="1134"/>
          <w:tab w:val="left" w:pos="1559"/>
          <w:tab w:val="left" w:pos="1984"/>
          <w:tab w:val="left" w:leader="dot" w:pos="7654"/>
          <w:tab w:val="right" w:pos="8929"/>
          <w:tab w:val="right" w:pos="9638"/>
        </w:tabs>
        <w:spacing w:after="120"/>
        <w:rPr>
          <w:bCs/>
        </w:rPr>
      </w:pPr>
      <w:r>
        <w:tab/>
        <w:t>II.</w:t>
      </w:r>
      <w:r>
        <w:tab/>
        <w:t>Omvang en toepassing</w:t>
      </w:r>
      <w:r>
        <w:tab/>
      </w:r>
      <w:r>
        <w:tab/>
        <w:t>8–11</w:t>
      </w:r>
      <w:r>
        <w:tab/>
        <w:t>4</w:t>
      </w:r>
    </w:p>
    <w:p w14:paraId="3B85EA0E"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t>III.</w:t>
      </w:r>
      <w:r>
        <w:tab/>
        <w:t>Algemene beginselen van het Verdrag met een verwijzing naar bedrijfsactiviteiten</w:t>
      </w:r>
      <w:r>
        <w:tab/>
      </w:r>
      <w:r>
        <w:tab/>
        <w:t>12–23</w:t>
      </w:r>
      <w:r>
        <w:tab/>
        <w:t>5</w:t>
      </w:r>
    </w:p>
    <w:p w14:paraId="1B70FFF1"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A.</w:t>
      </w:r>
      <w:r>
        <w:tab/>
        <w:t>Het recht op non-discriminatie (art. 2) 13 -14</w:t>
      </w:r>
      <w:r>
        <w:tab/>
        <w:t>5</w:t>
      </w:r>
    </w:p>
    <w:p w14:paraId="591786C2"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B.</w:t>
      </w:r>
      <w:r>
        <w:tab/>
        <w:t>Het belang van het kind (art. 3, lid. 1)</w:t>
      </w:r>
      <w:r>
        <w:tab/>
      </w:r>
      <w:r>
        <w:tab/>
        <w:t>15–17</w:t>
      </w:r>
      <w:r>
        <w:tab/>
        <w:t>6</w:t>
      </w:r>
    </w:p>
    <w:p w14:paraId="7699A1E1"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C.</w:t>
      </w:r>
      <w:r>
        <w:tab/>
        <w:t xml:space="preserve">Het recht op leven, overleven en ontwikkeling (art. 6) </w:t>
      </w:r>
      <w:r>
        <w:tab/>
        <w:t>18-20</w:t>
      </w:r>
      <w:r>
        <w:tab/>
        <w:t>6</w:t>
      </w:r>
    </w:p>
    <w:p w14:paraId="7EE43A08"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D.</w:t>
      </w:r>
      <w:r>
        <w:tab/>
        <w:t xml:space="preserve">Het recht van het kind om gehoord te worden (art. 12) </w:t>
      </w:r>
      <w:r>
        <w:tab/>
        <w:t>21-23</w:t>
      </w:r>
      <w:r>
        <w:tab/>
        <w:t>7</w:t>
      </w:r>
    </w:p>
    <w:p w14:paraId="14934A82"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t>IV.</w:t>
      </w:r>
      <w:r>
        <w:tab/>
        <w:t xml:space="preserve">Aard en omvang van de verplichtingen van de Staten </w:t>
      </w:r>
      <w:r>
        <w:tab/>
      </w:r>
      <w:r>
        <w:tab/>
        <w:t>24–31</w:t>
      </w:r>
      <w:r>
        <w:tab/>
        <w:t>8</w:t>
      </w:r>
    </w:p>
    <w:p w14:paraId="719E0B9B"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A.</w:t>
      </w:r>
      <w:r>
        <w:tab/>
        <w:t xml:space="preserve">Algemene verplichtingen </w:t>
      </w:r>
      <w:r>
        <w:tab/>
      </w:r>
      <w:r>
        <w:tab/>
        <w:t>24–25</w:t>
      </w:r>
      <w:r>
        <w:tab/>
        <w:t>8</w:t>
      </w:r>
    </w:p>
    <w:p w14:paraId="573023DB"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B.</w:t>
      </w:r>
      <w:r>
        <w:tab/>
        <w:t>De verplichting om te eerbiedigen, te beschermen en te verwezenlijken</w:t>
      </w:r>
      <w:r>
        <w:tab/>
      </w:r>
      <w:r>
        <w:tab/>
        <w:t>26–31</w:t>
      </w:r>
      <w:r>
        <w:tab/>
        <w:t>8</w:t>
      </w:r>
    </w:p>
    <w:p w14:paraId="6CDC6DC9"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t>V.</w:t>
      </w:r>
      <w:r>
        <w:tab/>
        <w:t>Verplichtingen van de Staten in specifieke contexten</w:t>
      </w:r>
      <w:r>
        <w:tab/>
      </w:r>
      <w:r>
        <w:tab/>
        <w:t>32–52</w:t>
      </w:r>
      <w:r>
        <w:tab/>
        <w:t>10</w:t>
      </w:r>
    </w:p>
    <w:p w14:paraId="5F6CA111"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A.</w:t>
      </w:r>
      <w:r>
        <w:tab/>
        <w:t xml:space="preserve">Dienstverlening voor het genot van de rechten van het kind </w:t>
      </w:r>
      <w:r>
        <w:tab/>
      </w:r>
      <w:r>
        <w:tab/>
        <w:t>33–34</w:t>
      </w:r>
      <w:r>
        <w:tab/>
        <w:t>10</w:t>
      </w:r>
    </w:p>
    <w:p w14:paraId="656BFC7D"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B.</w:t>
      </w:r>
      <w:r>
        <w:tab/>
        <w:t>De informele economie</w:t>
      </w:r>
      <w:r>
        <w:tab/>
      </w:r>
      <w:r>
        <w:tab/>
        <w:t>35–37</w:t>
      </w:r>
      <w:r>
        <w:tab/>
        <w:t>11</w:t>
      </w:r>
    </w:p>
    <w:p w14:paraId="7AC23627"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C.</w:t>
      </w:r>
      <w:r>
        <w:tab/>
        <w:t>Rechten van kinderen en wereldwijd opererende bedrijven</w:t>
      </w:r>
      <w:r>
        <w:tab/>
      </w:r>
      <w:r>
        <w:tab/>
        <w:t>38–46</w:t>
      </w:r>
      <w:r>
        <w:tab/>
        <w:t>11</w:t>
      </w:r>
    </w:p>
    <w:p w14:paraId="07A461D8"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D.</w:t>
      </w:r>
      <w:r>
        <w:tab/>
        <w:t>Internationale organisaties</w:t>
      </w:r>
      <w:r>
        <w:tab/>
      </w:r>
      <w:r>
        <w:tab/>
        <w:t>47–48</w:t>
      </w:r>
      <w:r>
        <w:tab/>
        <w:t>14</w:t>
      </w:r>
    </w:p>
    <w:p w14:paraId="484A4FB2"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E.</w:t>
      </w:r>
      <w:r>
        <w:tab/>
        <w:t>Noodgevallen en conflictsituaties</w:t>
      </w:r>
      <w:r>
        <w:tab/>
      </w:r>
      <w:r>
        <w:tab/>
        <w:t>49–52</w:t>
      </w:r>
      <w:r>
        <w:tab/>
        <w:t>14</w:t>
      </w:r>
    </w:p>
    <w:p w14:paraId="65E02A4A"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t>VI.</w:t>
      </w:r>
      <w:r>
        <w:tab/>
        <w:t xml:space="preserve">Kader voor implementatie </w:t>
      </w:r>
      <w:r>
        <w:tab/>
      </w:r>
      <w:r>
        <w:tab/>
        <w:t>53–84</w:t>
      </w:r>
      <w:r>
        <w:tab/>
        <w:t>15</w:t>
      </w:r>
    </w:p>
    <w:p w14:paraId="63C355C9"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A.</w:t>
      </w:r>
      <w:r>
        <w:tab/>
        <w:t>Wet- en regelgeving en dwangmaatregelen</w:t>
      </w:r>
      <w:r>
        <w:tab/>
      </w:r>
      <w:r>
        <w:tab/>
        <w:t>53–65</w:t>
      </w:r>
      <w:r>
        <w:tab/>
        <w:t>15</w:t>
      </w:r>
    </w:p>
    <w:p w14:paraId="57BEF85A"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B.</w:t>
      </w:r>
      <w:r>
        <w:tab/>
        <w:t>Herstelmaatregelen</w:t>
      </w:r>
      <w:r>
        <w:tab/>
      </w:r>
      <w:r>
        <w:tab/>
        <w:t>66–72</w:t>
      </w:r>
      <w:r>
        <w:tab/>
        <w:t>18</w:t>
      </w:r>
    </w:p>
    <w:p w14:paraId="544A89F5"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C.</w:t>
      </w:r>
      <w:r>
        <w:tab/>
        <w:t>Beleidsmaatregelen</w:t>
      </w:r>
      <w:r>
        <w:tab/>
      </w:r>
      <w:r>
        <w:tab/>
        <w:t>73–74</w:t>
      </w:r>
      <w:r>
        <w:tab/>
        <w:t>19</w:t>
      </w:r>
    </w:p>
    <w:p w14:paraId="4A9B601C"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D.</w:t>
      </w:r>
      <w:r>
        <w:tab/>
        <w:t>Coördinatie en controlemaatregelen</w:t>
      </w:r>
      <w:r>
        <w:tab/>
      </w:r>
      <w:r>
        <w:tab/>
        <w:t>75–81</w:t>
      </w:r>
      <w:r>
        <w:tab/>
        <w:t>20</w:t>
      </w:r>
    </w:p>
    <w:p w14:paraId="45C2DF6C"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r>
      <w:r>
        <w:tab/>
        <w:t>E.</w:t>
      </w:r>
      <w:r>
        <w:tab/>
        <w:t>Maatregelen met betrekking tot samenwerking en bewustmaking</w:t>
      </w:r>
      <w:r>
        <w:tab/>
      </w:r>
      <w:r>
        <w:tab/>
        <w:t>82–84</w:t>
      </w:r>
      <w:r>
        <w:tab/>
        <w:t>21</w:t>
      </w:r>
    </w:p>
    <w:p w14:paraId="6002167D" w14:textId="77777777" w:rsidR="004D23C7" w:rsidRPr="004B7FCC" w:rsidRDefault="004D23C7" w:rsidP="004D23C7">
      <w:pPr>
        <w:tabs>
          <w:tab w:val="right" w:pos="850"/>
          <w:tab w:val="left" w:pos="1134"/>
          <w:tab w:val="left" w:pos="1559"/>
          <w:tab w:val="left" w:pos="1984"/>
          <w:tab w:val="left" w:leader="dot" w:pos="7654"/>
          <w:tab w:val="right" w:pos="8929"/>
          <w:tab w:val="right" w:pos="9638"/>
        </w:tabs>
        <w:spacing w:after="120"/>
        <w:rPr>
          <w:rFonts w:eastAsia="Calibri"/>
        </w:rPr>
      </w:pPr>
      <w:r>
        <w:tab/>
        <w:t>VII.</w:t>
      </w:r>
      <w:r>
        <w:tab/>
        <w:t>Verspreiding</w:t>
      </w:r>
      <w:r>
        <w:tab/>
      </w:r>
      <w:r>
        <w:tab/>
        <w:t>85-86</w:t>
      </w:r>
      <w:r>
        <w:tab/>
        <w:t>22</w:t>
      </w:r>
    </w:p>
    <w:p w14:paraId="4B259499" w14:textId="77777777" w:rsidR="004D23C7" w:rsidRPr="004B7FCC" w:rsidRDefault="004D23C7" w:rsidP="004D23C7">
      <w:pPr>
        <w:pStyle w:val="HChG"/>
        <w:rPr>
          <w:rFonts w:eastAsia="Calibri"/>
        </w:rPr>
      </w:pPr>
      <w:r>
        <w:br w:type="page"/>
      </w:r>
      <w:r>
        <w:lastRenderedPageBreak/>
        <w:tab/>
        <w:t>I.</w:t>
      </w:r>
      <w:r>
        <w:tab/>
        <w:t xml:space="preserve">Inleiding en doelstellingen </w:t>
      </w:r>
    </w:p>
    <w:p w14:paraId="7BC28D97"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Het Comité voor de Rechten van het Kind ziet dat de impact van het bedrijfsleven op de rechten van het kind de afgelopen decennia is toegenomen, vanwege factoren zoals de mondialisering van economieën en activiteiten van ondernemingen. Ook de trends in decentralisatie en uitbesteding en privatisering van functies van de Staten die partij zijn, hebben invloed op het genot van de rechten van de mens. Het bedrijfsleven kan een belangrijke aanjager zijn bij de ontwikkeling van samenlevingen en economieën die de verwezenlijking van de kinderrechten bevordert, bijvoorbeeld door technologische verbeteringen, investeringen en het creëren van fatsoenlijk werk. Maar de verwezenlijking van de kinderrechten is niet automatisch een gevolg van economische groei, en zakelijke ondernemingen kunnen ook een negatieve impact hebben op de kinderrechten. </w:t>
      </w:r>
    </w:p>
    <w:p w14:paraId="71BEDC27"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De Staten die partij zijn hebben verplichtingen ten aanzien van de impact van bedrijfsactiviteiten en werkzaamheden op de rechten van het kind die voortkomen uit het Verdrag inzake de rechten van het kind, het Facultatieve Protocol over de verkoop van kinderen, kinderprostitutie en kinderpornografie en het Facultatief Protocol over de betrokkenheid van kinderen bij gewapende conflicten. Deze verplichtingen hebben betrekking op een aantal onderwerpen, die weergeven dat kinderen zowel houders van rechten als belanghebbenden zijn in het bedrijfsleven. Als consumenten, legaal aangetrokken werknemers, als de werknemers en zakelijk leiders van de toekomst en als leden van de gemeenschappen en omgevingen waarin bedrijven opereren. Het doel van dit General Comment is om deze verplichtingen toe te lichten en een overzicht te geven van de maatregelen die de Staten die partij zijn, moeten nemen om hieraan te voldoen. </w:t>
      </w:r>
    </w:p>
    <w:p w14:paraId="4210BF93"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In dit General Comment verstaan we onder bedrijfssector alle bedrijven, nationaal en internationaal, van elke grootte, in elke sector, op elke locatie, ongeacht eigendom en structuur. Het General Comment behandelt ook verplichtingen voor organisaties zonder winststreven die een rol spelen in het verlenen van diensten die van belang zijn voor het genot van de kinderrechten. </w:t>
      </w:r>
    </w:p>
    <w:p w14:paraId="17924A8A"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hebben een passend wettelijk en institutioneel kader nodig om de kinderrechten te eerbiedigen, te beschermen en te verwezenlijken. Ook moeten de Staten zorgdragen voor rechtsmiddelen in geval van overtredingen met betrekking tot bedrijfsactiviteiten en werkzaamheden. Staten moeten in dit verband rekening houden met het volgende:</w:t>
      </w:r>
    </w:p>
    <w:p w14:paraId="62424555" w14:textId="77777777" w:rsidR="004D23C7" w:rsidRPr="00590EA8" w:rsidRDefault="004D23C7" w:rsidP="003F4FEF">
      <w:pPr>
        <w:pStyle w:val="Bullet1G"/>
        <w:numPr>
          <w:ilvl w:val="0"/>
          <w:numId w:val="4"/>
        </w:numPr>
        <w:ind w:left="1170" w:firstLine="540"/>
        <w:rPr>
          <w:rFonts w:eastAsia="Calibri"/>
        </w:rPr>
      </w:pPr>
      <w:r>
        <w:t xml:space="preserve">De kindertijd is een unieke periode van lichamelijke, geestelijke, emotionele en spirituele ontwikkeling. Schendingen van de kinderrechten, zoals blootstelling aan geweld, kinderarbeid of onveilige producten of milieugevaren, kunnen levenslange, blijvende en zelfs intergenerationele consequenties hebben; </w:t>
      </w:r>
    </w:p>
    <w:p w14:paraId="236AA65F" w14:textId="77777777" w:rsidR="004D23C7" w:rsidRPr="00590EA8" w:rsidRDefault="004D23C7" w:rsidP="003F4FEF">
      <w:pPr>
        <w:pStyle w:val="Bullet1G"/>
        <w:numPr>
          <w:ilvl w:val="0"/>
          <w:numId w:val="4"/>
        </w:numPr>
        <w:ind w:left="1170" w:firstLine="540"/>
        <w:rPr>
          <w:rFonts w:eastAsia="Calibri"/>
        </w:rPr>
      </w:pPr>
      <w:r>
        <w:t xml:space="preserve">Kinderen hebben politiek vaak geen stem of toegang tot relevante informatie. Ze zijn afhankelijk van de overheid om hun rechten te verwezenlijken, maar hebben daar weinig invloed op. Dit maakt het moeilijker voor hen om zeggenschap te hebben over wetten en beleid die impact hebben op hun rechten. Staten die partij zijn, kunnen in de besluitvorming mogelijk niet voldoende rekening houden met de impact op kinderen van wetten en beleid die met bedrijven te maken hebben, terwijl het bedrijfsleven omgekeerd vaak sterke invloed uitoefent op beslissingen met betrekking tot kinderrechten; </w:t>
      </w:r>
    </w:p>
    <w:p w14:paraId="4D7D51D8" w14:textId="77777777" w:rsidR="004D23C7" w:rsidRPr="007B66D1" w:rsidRDefault="004D23C7" w:rsidP="003F4FEF">
      <w:pPr>
        <w:pStyle w:val="Bullet1G"/>
        <w:numPr>
          <w:ilvl w:val="0"/>
          <w:numId w:val="4"/>
        </w:numPr>
        <w:ind w:left="1170" w:firstLine="540"/>
        <w:rPr>
          <w:rFonts w:ascii="Calibri" w:eastAsia="Calibri" w:hAnsi="Calibri"/>
        </w:rPr>
      </w:pPr>
      <w:r>
        <w:t>Over het algemeen is het voor kinderen een uitdaging om via de rechtbank of op andere manieren herstel en/of verhaal te halen als er inbreuk wordt gedaan op hun rechten, zeker als dit door bedrijven gebeurt. Kinderen hebben vaak te weinig juridische status, te weinig kennis van mechanismen om verhaal en/of herstel te halen en het ontbreekt hen vaak aan financiële middelen en voldoende juridische bijstand. Verder zijn er specifieke problemen voor kinderen om verhaal en/of herstel te halen voor schendingen die plaatsvinden in de context van de wereldwijde werkzaamheden van bedrijven</w:t>
      </w:r>
      <w:r>
        <w:rPr>
          <w:color w:val="000000"/>
        </w:rPr>
        <w:t xml:space="preserve">. </w:t>
      </w:r>
    </w:p>
    <w:p w14:paraId="5BB9A24F"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Gezien het groot aantal kinderrechten dat kan worden geschonden door bedrijfsactiviteiten en werkzaamheden, onderzoekt dit General Comment niet elk pertinent artikel van het Verdrag en zijn protocollen. Het wil de Staten die partij zijn in plaats daarvan een kader bieden om het Verdrag als geheel te implementeren voor wat betreft het bedrijfsleven en zich daar binnen richten op specifieke contexten waar de impact van bedrijfsactiviteiten op de kinderrechten aanzienlijk kan zijn. Dit General Comment wil Staten die partij zijn richtlijnen geven over het volgende: </w:t>
      </w:r>
    </w:p>
    <w:p w14:paraId="7B949E8A" w14:textId="77777777" w:rsidR="004D23C7" w:rsidRPr="004B7FCC" w:rsidRDefault="004D23C7" w:rsidP="003F4FEF">
      <w:pPr>
        <w:pStyle w:val="Bullet1G"/>
        <w:numPr>
          <w:ilvl w:val="0"/>
          <w:numId w:val="5"/>
        </w:numPr>
        <w:ind w:left="1080" w:firstLine="630"/>
        <w:rPr>
          <w:rFonts w:eastAsia="Calibri"/>
        </w:rPr>
      </w:pPr>
      <w:r>
        <w:t xml:space="preserve">Verzekeren dat activiteiten en werkzaamheden van bedrijven geen nadelige impact hebben op de rechten van kinderen; </w:t>
      </w:r>
    </w:p>
    <w:p w14:paraId="0F931F47" w14:textId="77777777" w:rsidR="004D23C7" w:rsidRPr="004B7FCC" w:rsidRDefault="004D23C7" w:rsidP="003F4FEF">
      <w:pPr>
        <w:pStyle w:val="Bullet1G"/>
        <w:numPr>
          <w:ilvl w:val="0"/>
          <w:numId w:val="5"/>
        </w:numPr>
        <w:ind w:left="1080" w:firstLine="630"/>
        <w:rPr>
          <w:rFonts w:eastAsia="Calibri"/>
        </w:rPr>
      </w:pPr>
      <w:r>
        <w:t xml:space="preserve">Voor zakelijke ondernemingen een omgeving creëren die het mogelijk maakt om de kinderrechten te eerbiedigen, ook bij alle zakelijke relaties die verband houden met hun activiteiten, producten en diensten en bij hun wereldwijde werkzaamheden, en hierbij ondersteuning bieden; en </w:t>
      </w:r>
    </w:p>
    <w:p w14:paraId="1A23A61C" w14:textId="77777777" w:rsidR="004D23C7" w:rsidRPr="004B7FCC" w:rsidRDefault="004D23C7" w:rsidP="003F4FEF">
      <w:pPr>
        <w:pStyle w:val="Bullet1G"/>
        <w:numPr>
          <w:ilvl w:val="0"/>
          <w:numId w:val="5"/>
        </w:numPr>
        <w:ind w:left="1080" w:firstLine="630"/>
        <w:rPr>
          <w:rFonts w:eastAsia="Calibri"/>
          <w:color w:val="000000"/>
        </w:rPr>
      </w:pPr>
      <w:r>
        <w:t>Waarborgen dat kinderen toegang hebben tot effectieve rechtsmiddelen als hun rechten zijn geschonden door een bedrijf dat handelt als een particuliere partij of als een agentschap van de overheid.</w:t>
      </w:r>
    </w:p>
    <w:p w14:paraId="64A8464E"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Dit General Comment trekt conclusies uit de ervaringen die het Comité heeft opgedaan bij het beoordelen van rapporten van de Staten die partij zijn en de algemene discussiedag over de private sector als dienstverlener in 2002.</w:t>
      </w:r>
      <w:r w:rsidR="006D0AF8">
        <w:rPr>
          <w:rStyle w:val="FootnoteReference"/>
        </w:rPr>
        <w:footnoteReference w:id="3"/>
      </w:r>
      <w:r>
        <w:rPr>
          <w:rStyle w:val="SingleTxtGCar"/>
        </w:rPr>
        <w:t xml:space="preserve"> Het Comité heeft zich ook laten informeren via regionale en internationale raadplegingen van verschillende belanghebbenden, waaronder kinderen, en door openbare raadplegingen die sinds 2011 worden gehouden.</w:t>
      </w:r>
    </w:p>
    <w:p w14:paraId="269DF8C7"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Het Comité is zich bewust van het belang voor het General Comment van de bestaande en zich voortdurend ontwikkelende nationale en internationale normen en standaarden en het beleidsadvies over het bedrijfsleven en mensenrechten. Het General Comment sluit aan bij internationale verdragen als Verdrag nr. 182 van de Internationale Arbeidsorganisatie (IAO) betreffende het verbod op en de onmiddellijke actie voor de uitbanning van de ergste vormen van kinderarbeid uit 1999 en Verdrag nr. 138 betreffende de minimumleeftijd voor toelating tot het arbeidsproces uit 1973. Het Comité erkent het belang van het kaderverdrag van de Verenigde Naties “Beschermen, respecteren en herstellen” en de richtsnoeren voor het bedrijfsleven en de mensenrechten, aangenomen door de Raad voor de Mensenrechten en van de Tripartiete principeverklaring inzake multinationale ondernemingen en sociaal beleid van het ILO. Andere documenten, zoals de richtlijnen van de Organisatie voor Economische Samenwerking en Ontwikkeling (OESO) voor multinationale bedrijven, het Global Compact, de VN-studie over geweld tegen kinderen en de Richtlijnen voor Kinderrechten en het Bedrijfsleven, zijn nuttige referentiematerialen voor het Comité geweest. </w:t>
      </w:r>
    </w:p>
    <w:p w14:paraId="155DA6FD" w14:textId="77777777" w:rsidR="004D23C7" w:rsidRPr="004B7FCC" w:rsidRDefault="004D23C7" w:rsidP="004D23C7">
      <w:pPr>
        <w:pStyle w:val="HChG"/>
        <w:rPr>
          <w:rFonts w:eastAsia="Calibri"/>
        </w:rPr>
      </w:pPr>
      <w:r>
        <w:tab/>
        <w:t>II.</w:t>
      </w:r>
      <w:r>
        <w:tab/>
        <w:t xml:space="preserve">Omvang en toepassing </w:t>
      </w:r>
    </w:p>
    <w:p w14:paraId="44DBF055"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General Comment benoemt voornamelijk de verplichtingen van de Staat die partij is, krachtens het Verdrag en de bijbehorende Facultatieve Protocollen. Op dit moment is er geen bindend internationaal instrument voor de verantwoordelijkheden van de zakelijke sector ten opzichte van mensenrechten. Het Comité erkent echter dat de taken en verantwoordelijkheden om de rechten van kinderen te eerbiedigen in de praktijk verder reiken dan de Staat en de door de Staat gecontroleerde diensten, en van toepassing zijn op private actoren en bedrijven. Daarom moeten alle bedrijven voldoen aan hun verantwoordelijkheden inzake kinderrechten, en moeten de Staten die partij zijn, verzekeren dat zij dit doen. Daarnaast moeten zakelijke ondernemingen de mogelijkheid van de Staten om te voldoen aan hun verplichtingen jegens kinderen krachtens het Verdrag en de bijbehorende Facultatieve Protocollen niet ondermijnen.</w:t>
      </w:r>
    </w:p>
    <w:p w14:paraId="449FBE1A"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Comité erkent dat vrijwillige acties van zakelijke ondernemingen in het kader van maatschappelijk verantwoord ondernemen de rechten van kinderen kunnen bevorderen, zoals sociale investeringen, belangenbehartiging en het betrekken van derden bij beleidsvorming, vrijwillige gedragscodes, filantropie en andere collectieve acties.  Staten dienen dergelijke vrijwillige acties en initiatieven aan te moedigen als middel om een zakelijke cultuur te creëren die de kinderrechten respecteert en ondersteunt. Dit soort vrijwillige acties en initiatieven zijn echter geen vervanging van de acties en regelgeving die de Staat oplegt krachtens het Verdrag en bijbehorende protocollen. Het ontslaat ondernemingen evenmin van hun verplichting om te voldoen aan hun verplichtingen met betrekking tot de rechten van kinderen.</w:t>
      </w:r>
    </w:p>
    <w:p w14:paraId="3F4CC163" w14:textId="77777777" w:rsidR="004D23C7"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is belangrijk om te weten dat het Verdrag en de bijbehorende Facultatieve Protocollen de Staten die partij zijn betrekken als een geheel, ongeacht de interne structuren, vestigingen of organisatie. Verder vermindert decentralisatie van macht, door overdracht en delegatie, niet de directe verantwoordelijkheid van de Staat die partij is om te voldoen aan zijn verplichtingen aan alle kinderen onder zijn rechtsbevoegdheid.</w:t>
      </w:r>
    </w:p>
    <w:p w14:paraId="7EA3D9EA" w14:textId="77777777" w:rsidR="004D23C7" w:rsidRPr="00C001E2"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Dit General Comment beoordeelt eerst de relatie met betrekking tot bedrijfsactiviteiten en de algemene beginselen van het Verdrag. Vervolgens bepaalt het de algemene aard en omvang van de verplichtingen van de Staat die partij is met betrekking tot de kinderrechten en de zakelijke sector. Hieronder wordt nagegaan wat de omvang van de verplichtingen is in een context waar de impact van bedrijfsactiviteiten en werkzaamheden op de rechten van kinderen het grootst is, zoals in het geval dat zakelijke ondernemingen dienstverleners zijn, kinderen te lijden hebben van de informele economie, Staten internationaal samenwerken met internationale organisaties en het bedrijfsleven werkzaamheden uitvoert in gebieden waar de Staat de kinderrechten te weinig beschermt. Ten slotte geeft dit General Comment een kader voor implementatie en verspreiding.</w:t>
      </w:r>
    </w:p>
    <w:p w14:paraId="6EEBD5E0" w14:textId="77777777" w:rsidR="004D23C7" w:rsidRPr="004B7FCC" w:rsidRDefault="004D23C7" w:rsidP="004D23C7">
      <w:pPr>
        <w:pStyle w:val="HChG"/>
        <w:rPr>
          <w:rFonts w:eastAsia="Calibri"/>
        </w:rPr>
      </w:pPr>
      <w:r>
        <w:tab/>
        <w:t>III.</w:t>
      </w:r>
      <w:r>
        <w:tab/>
        <w:t>Algemene beginselen van het Verdrag met een verwijzing naar bedrijfsactiviteiten</w:t>
      </w:r>
    </w:p>
    <w:p w14:paraId="6878D38E"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Kinderrechten zijn universeel, ondeelbaar en onderling afhankelijk en gerelateerd. Het Comité heeft vier algemene beginselen vastgesteld in het Verdrag die de basis vormen voor alle beslissingen en acties van een Staat met betrekking tot zakelijke activiteiten en werkzaamheden in overeenstemming met een aanpak van kinderrechten.</w:t>
      </w:r>
      <w:r w:rsidR="006D0AF8">
        <w:rPr>
          <w:rStyle w:val="FootnoteReference"/>
          <w:lang w:eastAsia="en-GB"/>
        </w:rPr>
        <w:footnoteReference w:id="4"/>
      </w:r>
      <w:r>
        <w:rPr>
          <w:rStyle w:val="SingleTxtGCar"/>
        </w:rPr>
        <w:t xml:space="preserve"> </w:t>
      </w:r>
    </w:p>
    <w:p w14:paraId="7E58DF0D" w14:textId="77777777" w:rsidR="004D23C7" w:rsidRPr="004B7FCC" w:rsidRDefault="004D23C7" w:rsidP="004D23C7">
      <w:pPr>
        <w:pStyle w:val="H1G"/>
        <w:rPr>
          <w:rFonts w:eastAsia="Calibri"/>
        </w:rPr>
      </w:pPr>
      <w:r>
        <w:tab/>
        <w:t>A.</w:t>
      </w:r>
      <w:r>
        <w:tab/>
        <w:t>Het recht op non-discriminatie (art. 2)</w:t>
      </w:r>
    </w:p>
    <w:p w14:paraId="3271E837"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Artikel 2 van het Verdrag roept Staten die partij zijn op om de rechten van ieder kind onder hun rechtsbevoegdheid te eerbiedigen en te waarborgen, “zonder discriminatie van welke aard ook, ongeacht ras, huidskleur, geslacht, taal, godsdienst, politieke of andere overtuiging, nationale, etnische of maatschappelijke afkomst, welstand, handicap, geboorte of andere omstandigheid”. Staten dienen te verzekeren dat wetgeving, beleid en programma's met betrekking tot zakelijke aangelegenheden niet bedoeld of onbedoeld discriminerend zijn jegens kinderen qua inhoud of implementatie, zoals wetgeving die toegang tot arbeid bepaalt voor ouders of verzorgers, of toegang tot goederen en diensten voor kinderen met een handicap. </w:t>
      </w:r>
    </w:p>
    <w:p w14:paraId="56E64E6F"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Staten die partij zijn, zijn verplicht om discriminatie in de privésfeer in het algemeen te voorkomen, en zorg te dragen voor herstel en/of verhaal wanneer dit plaatsvindt. Staten dienen statistische gegevens te verzamelen die op de juiste wijze zijn uitgesplitst en andere informatie om discriminatie tegen kinderen tegen te gaan in de context van zakelijke activiteiten en werkzaamheden, en mechanismen in te stellen om toezicht te houden op discriminerende praktijken in de zakelijke sector en deze te onderzoeken. Staten dienen ook stappen te ondernemen om te bevorderen dat binnen de zakelijke sector het recht op bescherming tegen discriminatie wordt gerespecteerd, door de kennis en het begrip over dit recht te vergroten. Dit geldt ook voor de media-, reclame- en marketingbranche. Bewustwording en sensitiviteit onder zakelijke ondernemingen moeten erop gericht zijn om de discriminerende houding van zakelijke ondernemingen ten opzichte van kinderen, in het bijzonder van kinderen in kwetsbare situaties, tegen te gaan en uit te bannen. </w:t>
      </w:r>
    </w:p>
    <w:p w14:paraId="5C5BEAF7" w14:textId="77777777" w:rsidR="004D23C7" w:rsidRPr="004B7FCC" w:rsidRDefault="004D23C7" w:rsidP="004D23C7">
      <w:pPr>
        <w:pStyle w:val="H1G"/>
        <w:rPr>
          <w:rFonts w:eastAsia="Calibri"/>
        </w:rPr>
      </w:pPr>
      <w:r>
        <w:tab/>
        <w:t>B.</w:t>
      </w:r>
      <w:r>
        <w:tab/>
        <w:t>Het belang van het kind (art. 3, lid. 1)</w:t>
      </w:r>
    </w:p>
    <w:p w14:paraId="4D51DC1F"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In artikel 3, lid 1 van het Verdrag is bepaald dat de belangen van het kind de eerste overweging vormen bij alle maatregelen betreffende kinderen. Staten die partij zijn, zijn verplicht om dit beginsel op te nemen en toe te passen in alle wettelijke, bestuurlijke en gerechtelijke procedures met betrekking tot zakelijke activiteiten en werkzaamheden die een directe of indirecte invloed hebben op kinderen. Zo moeten de Staten verzekeren dat het belang van het kind centraal staat bij de ontwikkeling van wetgeving en beleid die vormgeven aan zakelijke activiteiten en werkzaamheden, met betrekking tot bijvoorbeeld werkgelegenheid, belastingen, corruptie, privatisering, transport en andere algemene onderwerpen op het gebied van economie, handel en financiën. </w:t>
      </w:r>
    </w:p>
    <w:p w14:paraId="58767BA9"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Artikel 2, lid 1 is ook direct toepasbaar op zakelijke ondernemingen die functioneren als particuliere of publieke welzijnsorganisaties door rechtstreeks diensten aan te bieden voor kinderen, zoals zorg, pleegzorg, gezondheid, onderwijs en het bestuur van gevangenissen. </w:t>
      </w:r>
    </w:p>
    <w:p w14:paraId="5472D989"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Verdrag en de bijbehorende Facultatieve Protocollen bieden een kader om het belang van het kind te onderzoeken en te bepalen. De verplichting om de belangen van het kind de eerste overweging te laten vormen wordt cruciaal wanneer Staten concurrerende prioriteiten afwegen, zoals korte termijn economische afwegingen op dienen en ontwikkelingsbeslissingen op de langere termijn. Staten moeten kunnen uitleggen hoe het belang van het kind is gerespecteerd in besluitvorming, en hoe het zich verhoudt tegenover andere overwegingen.</w:t>
      </w:r>
      <w:r w:rsidR="006D0AF8">
        <w:rPr>
          <w:rStyle w:val="FootnoteReference"/>
          <w:lang w:eastAsia="en-GB"/>
        </w:rPr>
        <w:footnoteReference w:id="5"/>
      </w:r>
    </w:p>
    <w:p w14:paraId="55104020" w14:textId="77777777" w:rsidR="004D23C7" w:rsidRPr="004B7FCC" w:rsidRDefault="004D23C7" w:rsidP="004D23C7">
      <w:pPr>
        <w:pStyle w:val="H1G"/>
        <w:rPr>
          <w:rFonts w:eastAsia="Calibri"/>
        </w:rPr>
      </w:pPr>
      <w:r>
        <w:tab/>
        <w:t>C.</w:t>
      </w:r>
      <w:r>
        <w:tab/>
        <w:t>Het recht op leven, overleven en ontwikkeling (art. 6)</w:t>
      </w:r>
    </w:p>
    <w:p w14:paraId="6B78DFEB"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Artikel 6 van het Verdrag erkent dat ieder kind het inherente recht op leven heeft en dat de Staten het overleven en de ontwikkeling van het kind waarborgen. Het Comité beschrijft zijn begrip van de ontwikkeling van het kind in General Comment nr. 5 (2003) bij de algemene maatregelen van de toepassing van het Verdrag als een “holistisch concept waarin de fysieke, geestelijke, spirituele, morele, psychologische en sociale ontwikkeling van het kind centraal staat”.</w:t>
      </w:r>
      <w:r w:rsidR="006D0AF8">
        <w:rPr>
          <w:rStyle w:val="FootnoteReference"/>
          <w:lang w:eastAsia="en-GB"/>
        </w:rPr>
        <w:footnoteReference w:id="6"/>
      </w:r>
      <w:r>
        <w:rPr>
          <w:rStyle w:val="SingleTxtGCar"/>
        </w:rPr>
        <w:t xml:space="preserve"> </w:t>
      </w:r>
    </w:p>
    <w:p w14:paraId="1733217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activiteiten en werkzaamheden van zakelijke ondernemingen kunnen op verschillende manieren een impact hebben op de verwezenlijking van artikel 6. Zo kan aantasting van het milieu en milieuverontreiniging veroorzaakt door zakelijke activiteiten een schending zijn van het recht van kinderen op gezondheid, voedselveiligheid en toegang tot veilig drinkwater en sanitaire voorzieningen. De verkoop of verhuur van land aan investeerders kan lokale bevolkingsgroepen de toegang ontnemen tot natuurlijke hulpbronnen die verbonden zijn met hun levensonderhoud en cultureel erfgoed. In dit kader kunnen met name de rechten van inheemse kinderen risico lopen.</w:t>
      </w:r>
      <w:r w:rsidR="006D0AF8">
        <w:rPr>
          <w:rStyle w:val="FootnoteReference"/>
          <w:lang w:eastAsia="en-GB"/>
        </w:rPr>
        <w:footnoteReference w:id="7"/>
      </w:r>
      <w:r>
        <w:rPr>
          <w:rStyle w:val="SingleTxtGCar"/>
        </w:rPr>
        <w:t xml:space="preserve"> Het verhandelen van producten als sigaretten en alcohol en voedsel en drank met een hoog gehalte aan verzadigde vetten, transvetzuren, suiker, zout of toevoegingen gericht op kinderen kan op de lange termijn een negatieve invloed hebben op hun gezondheid.</w:t>
      </w:r>
      <w:r w:rsidR="006D0AF8">
        <w:rPr>
          <w:rStyle w:val="FootnoteReference"/>
          <w:lang w:eastAsia="en-GB"/>
        </w:rPr>
        <w:footnoteReference w:id="8"/>
      </w:r>
      <w:r>
        <w:rPr>
          <w:rStyle w:val="SingleTxtGCar"/>
        </w:rPr>
        <w:t xml:space="preserve"> Als volwassenen veel uren achter elkaar moeten werken, moeten oudere kinderen, met name meisjes, mogelijk de huishoudelijke verplichtingen en zorg voor de kinderen overnemen. Dit kan een negatieve impact hebben op hun recht op onderwijs en recreatie. Bovendien kan het overlaten van de zorg van kinderen aan oudere broers en zussen gevolgen hebben voor de kwaliteit van de zorg en de gezondheid van jongere kinderen.</w:t>
      </w:r>
    </w:p>
    <w:p w14:paraId="1F97F667"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Maatregelen voor de implementatie van artikel 6 met betrekking tot het bedrijfsleven moeten worden aangepast aan de context. Deze moeten ook bestaan uit preventieve maatregelen zoals doeltreffende regulering van en toezicht op de reclame- en marketingbranche en de impact van het bedrijfsleven op het milieu. In het kader van de zorg voor met name jonge kinderen zijn andere maatregelen nodig om een omgeving te creëren die bedrijven stimuleert om artikel 6 te eerbiedigen. Een voorbeeld hiervan is de introductie van beleid gericht op een gezinsvriendelijke werkomgeving. Dit beleid is erop gericht om rekening te houden met de impact van werkuren van volwassenen op het overleven en de ontwikkeling van het kind in alle stadia van ontwikkeling en moet voldoende betaald ouderschapsverlof bevatten.</w:t>
      </w:r>
      <w:r w:rsidR="006D0AF8">
        <w:rPr>
          <w:rStyle w:val="FootnoteReference"/>
          <w:lang w:eastAsia="en-GB"/>
        </w:rPr>
        <w:footnoteReference w:id="9"/>
      </w:r>
    </w:p>
    <w:p w14:paraId="23D47FEC" w14:textId="77777777" w:rsidR="004D23C7" w:rsidRPr="004B7FCC" w:rsidRDefault="004D23C7" w:rsidP="004D23C7">
      <w:pPr>
        <w:pStyle w:val="H1G"/>
        <w:rPr>
          <w:rFonts w:eastAsia="Calibri"/>
        </w:rPr>
      </w:pPr>
      <w:r>
        <w:tab/>
        <w:t>D.</w:t>
      </w:r>
      <w:r>
        <w:tab/>
        <w:t>Het recht van het kind gehoord te worden (art. 12)</w:t>
      </w:r>
    </w:p>
    <w:p w14:paraId="2A3C448C"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In artikel 12 van het Verdrag is bepaald dat ieder kind het recht heeft zijn of haar mening vrijelijk te uiten in alle aangelegenheden die het kind aangaan, en het daaruit voortvloeiend recht dat er passend belang wordt gehecht aan deze mening in overeenstemming met de leeftijd en rijpheid van het kind. Staten moeten regelmatig de mening van kinderen horen – conform General Comment nr. 12</w:t>
      </w:r>
      <w:r w:rsidR="006D0AF8" w:rsidRPr="00590EA8">
        <w:rPr>
          <w:rStyle w:val="FootnoteReference"/>
          <w:lang w:eastAsia="en-GB"/>
        </w:rPr>
        <w:footnoteReference w:id="10"/>
      </w:r>
      <w:r>
        <w:rPr>
          <w:rStyle w:val="SingleTxtGCar"/>
        </w:rPr>
        <w:t xml:space="preserve"> – bij het ontwikkelen van nationale en lokale wetgeving en beleid met betrekking tot het bedrijfsleven die hen kunnen aangaan. Staten moeten met name kinderen betrekken die moeilijkheden ondervinden om gehoord te worden, zoals kinderen uit minderheidsgroepen of inheemse bevolkingsgroepen, kinderen met een handicap zoals bepaald in artikel 4, lid 3 en 7 van het Verdrag inzake de rechten van personen met een handicap,</w:t>
      </w:r>
      <w:r w:rsidR="006D0AF8">
        <w:rPr>
          <w:rStyle w:val="FootnoteReference"/>
          <w:lang w:eastAsia="en-GB"/>
        </w:rPr>
        <w:footnoteReference w:id="11"/>
      </w:r>
      <w:r>
        <w:rPr>
          <w:rStyle w:val="SingleTxtGCar"/>
        </w:rPr>
        <w:t xml:space="preserve"> en kinderen in vergelijkbare kwetsbare situaties. Overheidsorganen die zich bezighouden met de regulering van en het toezicht op de activiteiten en werkzaamheden van bedrijven, zoals de onderwijs- of arbeidsinspectie, moeten ervoor zorgen dat er rekening wordt gehouden met de mening van kinderen. Staten moeten ook kinderen horen wanneer er beoordelingen van de impact op kinderrechten worden uitgevoerd met betrekking tot voorgesteld(e) beleid, wet- en regelgeving, budget of andere bestuurlijke beslissingen.</w:t>
      </w:r>
    </w:p>
    <w:p w14:paraId="651E7118"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Kinderen hebben het specifieke recht “te worden gehoord in alle gerechtelijke en bestuurlijke procedures die het kind aangaan” (art. 12, lid. 3, van het Verdrag). Hieronder vallen alle gerechtelijke procedures en vormen van verzoening en arbitrage die betrekking hebben op de schending van de rechten van kinderen die zijn veroorzaakt of waartoe is bijgedragen door zakelijke ondernemingen. Zoals bepaald in General Comment nr. 12, moeten kinderen vrijwillig mogen deelnemen aan dergelijke procedures en de kans krijgen om rechtstreeks te worden gehoord, of door tussenkomst van een vertegenwoordiger of een passende organisatie die voldoende kennis en begrip heeft van de verschillende aspecten van het besluitvormingsproces en ervaring heeft in het werken met kinderen. </w:t>
      </w:r>
    </w:p>
    <w:p w14:paraId="5BE5956F" w14:textId="77777777" w:rsidR="004D23C7"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kan voorkomen dat bedrijven gemeenschappen raadplegen over mogelijke zakelijke projecten die hen aangaan. In dat soort situaties kan het belangrijk voor bedrijven zijn om de mening van kinderen te vragen, en deze mee te wegen in de beslissingen die hen beïnvloeden. Staten moeten bedrijven specifieke richtlijnen geven die onderstrepen dat dergelijke processen toegankelijk moeten zijn, inclusief en zinvol voor kinderen moeten zijn, en dat de zich ontwikkelende vermogens van het kind en het belang van het kind altijd vooropstaan. Participatie moet vrijwillig zijn en plaatsvinden in een kindvriendelijke omgeving die discriminatie bestrijdt en patronen van kinderdiscriminatie tegengaat. Waar mogelijk moeten hierbij organisaties worden betrokken die bekwaam zijn in het faciliteren van kinderparticipatie.</w:t>
      </w:r>
    </w:p>
    <w:p w14:paraId="11A2BCDC" w14:textId="77777777" w:rsidR="004D23C7" w:rsidRPr="00826745" w:rsidRDefault="00040C75" w:rsidP="00040C75">
      <w:pPr>
        <w:pStyle w:val="HChG"/>
        <w:rPr>
          <w:rFonts w:eastAsia="Calibri"/>
        </w:rPr>
      </w:pPr>
      <w:r>
        <w:tab/>
        <w:t>IV.</w:t>
      </w:r>
      <w:r>
        <w:tab/>
        <w:t xml:space="preserve">Aard en omvang van de verplichtingen van de Staten </w:t>
      </w:r>
    </w:p>
    <w:p w14:paraId="2B340F3A" w14:textId="77777777" w:rsidR="004D23C7" w:rsidRPr="004B7FCC" w:rsidRDefault="004D23C7" w:rsidP="004D23C7">
      <w:pPr>
        <w:pStyle w:val="H1G"/>
        <w:rPr>
          <w:rFonts w:eastAsia="Calibri"/>
        </w:rPr>
      </w:pPr>
      <w:r>
        <w:tab/>
        <w:t>A.</w:t>
      </w:r>
      <w:r>
        <w:tab/>
        <w:t>Algemene verplichtingen</w:t>
      </w:r>
    </w:p>
    <w:p w14:paraId="0738EC9B"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Het Verdrag voorziet in een aantal rechten voor kinderen die de Staat die partij is bepaalde verplichtingen oplegt met betrekking tot de speciale status van kinderen. Het schenden van de rechten van kinderen is een zeer ernstige aangelegenheid, omdat dit vaak een groot en langdurig effect op de ontwikkeling van het kind heeft. Artikel 4 bepaalt de verplichting van de Staten die partij zijn, om alle passende wettelijke, bestuurlijke en andere maatregelen te nemen voor de implementatie van de in dit Verdrag erkende rechten. Ten aanzien van de verwezenlijking van de economische, sociale en culturele rechten van het kind moeten ze de hun ter beschikking staande middelen in de ruimste mate toewijzen. </w:t>
      </w:r>
    </w:p>
    <w:p w14:paraId="2DD9A331"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Krachtens internationale mensenrechtenverdragen zijn er drie soorten verplichtingen voor de Staten die partij zijn: het eerbiedigen, beschermen en verwezenlijken van de mensenrechten.</w:t>
      </w:r>
      <w:r w:rsidR="006D0AF8">
        <w:rPr>
          <w:rStyle w:val="FootnoteReference"/>
          <w:lang w:eastAsia="en-GB"/>
        </w:rPr>
        <w:footnoteReference w:id="12"/>
      </w:r>
      <w:r>
        <w:rPr>
          <w:rStyle w:val="SingleTxtGCar"/>
        </w:rPr>
        <w:t xml:space="preserve"> Deze omvatten verplichtingen ten aanzien van resultaat en gedrag. Staten die partij zijn, worden niet van hun verplichtingen krachtens het Verdrag en de bijbehorende Facultatieve Protocollen ontheven als hun functies zijn gedelegeerd of uitbesteed aan particuliere bedrijven of non-profitorganisaties. Een Staat die partij is, schendt dan ook zijn verplichtingen krachtens het Verdrag wanneer hij nalaat om de kinderrechten met betrekking tot zakelijke activiteiten en werkzaamheden die kinderen aangaan te eerbiedigen, te beschermen en te verwezenlijken. De omvang van deze verplichtingen wordt hieronder verder onderzocht. Het vereiste kader voor de implementatie wordt in hoofdstuk VI besproken. </w:t>
      </w:r>
    </w:p>
    <w:p w14:paraId="11566113" w14:textId="77777777" w:rsidR="004D23C7" w:rsidRPr="004B7FCC" w:rsidRDefault="004D23C7" w:rsidP="004D23C7">
      <w:pPr>
        <w:pStyle w:val="H1G"/>
        <w:rPr>
          <w:rFonts w:eastAsia="Calibri"/>
        </w:rPr>
      </w:pPr>
      <w:r>
        <w:tab/>
        <w:t>B.</w:t>
      </w:r>
      <w:r>
        <w:tab/>
        <w:t>De verplichting om te eerbiedigen, te beschermen en te verwezenlijken</w:t>
      </w:r>
    </w:p>
    <w:p w14:paraId="39D6DA50" w14:textId="77777777" w:rsidR="004D23C7" w:rsidRPr="004B7FCC" w:rsidRDefault="004D23C7" w:rsidP="004D23C7">
      <w:pPr>
        <w:pStyle w:val="H23G"/>
        <w:rPr>
          <w:rFonts w:eastAsia="Calibri"/>
        </w:rPr>
      </w:pPr>
      <w:r>
        <w:tab/>
        <w:t>1.</w:t>
      </w:r>
      <w:r>
        <w:tab/>
        <w:t xml:space="preserve">De verplichting om te eerbiedigen </w:t>
      </w:r>
    </w:p>
    <w:p w14:paraId="028202B0"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De verplichting om te eerbiedigen houdt in dat Staten niet direct of indirect schendingen van de kinderrechten mogen faciliteren, helpen of steunen. Verder hebben de Staten de verplichting om te verzekeren dat alle actoren de kinderrechten respecteren, ook in het kader van zakelijke activiteiten en werkzaamheden. Hiertoe moet alle handelingen en besluitvorming op het gebied van beleid, wetgeving en bestuur met betrekking tot het bedrijfsleven transparant en geïnformeerd zijn, en moet er volledig en doorlopend rekening worden gehouden met de impact op de rechten van het kind. </w:t>
      </w:r>
    </w:p>
    <w:p w14:paraId="50ADC253"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De verplichting om te eerbiedigen houdt ook in dat een Staat die partij is, niet moet deelnemen aan schendingen van de rechten van het kind of deze ondersteunen of gedogen als de Staat zelf een zakelijke rol heeft of zaken doet met particuliere ondernemingen. Zo moeten Staten bijvoorbeeld maatregelen nemen om ervoor te zorgen dat openbare inkoopcontracten worden toegekend aan inschrijvers die de rechten van kinderen willen respecteren. Agentschappen en instellingen van de overheid, waaronder veiligheidsdiensten, mogen niet samenwerken met derden die de rechten van kinderen schenden, of dit gedogen. Verder moeten de Staten die partij zijn, geen overheidsgeld of andere middelen investeren in zakelijke activiteiten die kinderrechten schenden. </w:t>
      </w:r>
    </w:p>
    <w:p w14:paraId="3504C053" w14:textId="77777777" w:rsidR="004D23C7" w:rsidRPr="004B7FCC" w:rsidRDefault="004D23C7" w:rsidP="004D23C7">
      <w:pPr>
        <w:pStyle w:val="H23G"/>
        <w:rPr>
          <w:rFonts w:eastAsia="Calibri"/>
        </w:rPr>
      </w:pPr>
      <w:r>
        <w:tab/>
        <w:t>2.</w:t>
      </w:r>
      <w:r>
        <w:tab/>
        <w:t>De verplichting om te beschermen</w:t>
      </w:r>
    </w:p>
    <w:p w14:paraId="1252F64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De Staten die partij zijn, hebben een verplichting om te beschermen tegen inbreuk op rechten die krachtens het Verdrag en de bijbehorende Facultatieve Protocollen door derden worden gewaarborgd. Deze verplichting is van primair belang bij het overwegen van de verplichtingen van de Staat met betrekking tot het bedrijfsleven. Het betekent dat de Staten alle nodige, passende en redelijke maatregelen moeten nemen om te voorkomen dat zakelijke ondernemingen de kinderrechten schenden of hier een bijdrage aan leveren. Dergelijke maatregelen kunnen bestaan uit het aannemen van wet- en regelgeving, daarop toezien en deze handhaven, en beleid aannemen waarin duidelijk wordt bepaald hoe zakelijke ondernemingen impact kunnen hebben op de rechten van kinderen. Staten die partij zijn, moeten schendingen van de rechten van kinderen die zijn veroorzaakt of waartoe is bijgedragen door een zakelijke onderneming onderzoeken, hier uitspraken over doen en ertegen in beroep gaan. Een Staat die partij is, is daarom verantwoordelijk voor schendingen van de rechten van het kind die zijn veroorzaakt door zakelijke ondernemingen of een bijdrage daarvan, waarbij deze niet in staat in geweest om de nodige, passende en redelijke maatregelen te nemen om dergelijke schendingen te voorkomen en te herstellen, of op enige andere wijze heeft bijgedragen aan deze schendingen of deze heeft gedoogd. </w:t>
      </w:r>
    </w:p>
    <w:p w14:paraId="13BF28F6" w14:textId="77777777" w:rsidR="004D23C7" w:rsidRPr="004B7FCC" w:rsidRDefault="004D23C7" w:rsidP="004D23C7">
      <w:pPr>
        <w:pStyle w:val="H23G"/>
        <w:rPr>
          <w:rFonts w:eastAsia="Calibri"/>
        </w:rPr>
      </w:pPr>
      <w:r>
        <w:tab/>
        <w:t>3.</w:t>
      </w:r>
      <w:r>
        <w:tab/>
        <w:t>De verplichting om te verwezenlijken</w:t>
      </w:r>
    </w:p>
    <w:p w14:paraId="27932210"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De verplichting om te verwezenlijken vereist dat Staten die partij zijn, positieve actie ondernemen om het genot van de rechten van het kind te faciliteren en te bevorderen en hiervoor zorg te dragen. Dit betekent dat de Staten die partij zijn, wettelijke, bestuurlijke, financiële, juridische, promotionele en andere maatregelen moeten nemen conform artikel 4 met betrekking tot zakelijke activiteiten die impact hebben op de rechten van het kind.  Dergelijke maatregelen moeten de best mogelijke omgeving verzekeren voor de volledige verwezenlijking van het Verdrag en de bijbehorende Facultatieve Protocollen. Om aan deze verplichting te voldoen moeten de Staten die partij zijn, zorgen voor een evenwichtig en voorspelbaar wettelijk en regelgevend kader waarmee zakelijke ondernemingen in staat worden gesteld om de rechten van de kind te eerbiedigen. Hieronder wordt ook duidelijke wetgeving verstaan, die goed wordt gehandhaafd en normen inzake arbeid, gezondheid en veiligheid, milieu, corruptiebestrijding, landgebruik en belasting die aan het Verdrag de bijbehorende Facultatieve Protocollen voldoen. Hiermee wordt ook wetgeving en beleid bedoeld die gelijke kansen en behandeling bieden op het gebied van werkgelegenheid; maatregelen om beroepsopleidingen te bevorderen en fatsoenlijk werk en de levensstandaarden te verhogen; en beleid dat bevorderlijk is voor het midden- en kleinbedrijf. De Staten die partij zijn, moeten maatregelen treffen om kennis en begrip van het Verdrag de bijbehorende Facultatieve Protocollen te vergroten bij departementen, agentschappen en andere organisaties van de overheid gericht op de invoering van zakelijke praktijken, en een zakelijke cultuur bevorderen waarin de rechten van kinderen worden geëerbiedigd. </w:t>
      </w:r>
    </w:p>
    <w:p w14:paraId="528E783C" w14:textId="77777777" w:rsidR="004D23C7" w:rsidRPr="004B7FCC" w:rsidRDefault="004D23C7" w:rsidP="004D23C7">
      <w:pPr>
        <w:pStyle w:val="H23G"/>
        <w:rPr>
          <w:rFonts w:eastAsia="Calibri"/>
        </w:rPr>
      </w:pPr>
      <w:r>
        <w:tab/>
        <w:t>4.</w:t>
      </w:r>
      <w:r>
        <w:tab/>
        <w:t>Rechtsmiddelen en rechtsherstel</w:t>
      </w:r>
    </w:p>
    <w:p w14:paraId="3EA76705"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Staten die partij zijn, zijn verplicht om effectieve rechtsmiddelen en herstelmechanismen te ontwikkelen voor schendingen van de rechten van kinderen, waaronder door derden zoals zakelijke ondernemingen. Het Comité stelt in General Comment nr. 5 dat rechten pas zinvol zijn als er doeltreffende rechtsmiddelen beschikbaar zijn om schendingen te herstellen.</w:t>
      </w:r>
      <w:r w:rsidR="006D0AF8">
        <w:rPr>
          <w:rStyle w:val="FootnoteReference"/>
          <w:lang w:eastAsia="en-GB"/>
        </w:rPr>
        <w:footnoteReference w:id="13"/>
      </w:r>
      <w:r>
        <w:rPr>
          <w:rStyle w:val="SingleTxtGCar"/>
        </w:rPr>
        <w:t xml:space="preserve"> In verschillende bepalingen in het Verdrag wordt aangedrongen op boetes, compensatie, juridische acties en maatregelen om herstel na schade die is veroorzaakt of waartoe is bijgedragen door derden te bevorderen.</w:t>
      </w:r>
      <w:r w:rsidR="006D0AF8">
        <w:rPr>
          <w:rStyle w:val="FootnoteReference"/>
          <w:lang w:eastAsia="en-GB"/>
        </w:rPr>
        <w:footnoteReference w:id="14"/>
      </w:r>
      <w:r>
        <w:rPr>
          <w:rStyle w:val="SingleTxtGCar"/>
        </w:rPr>
        <w:t xml:space="preserve"> Om aan deze verplichting te kunnen voldoen moeten er mechanismen worden ontwikkeld die rekening houden met kinderen, strafrechtelijk, civielrechtelijk of bestuursrechtelijk, waar kinderen en hun vertegenwoordigers van op de hoogte zijn, die snel, daadwerkelijk beschikbaar en toegankelijk zijn en die de schade die is geleden op passende wijze herstellen. Overheidsorganisaties met toezichtbevoegdheden die van toepassing zijn voor de rechten van het kind, waaronder inspectiediensten op het gebied van arbeid, onderwijs en gezondheid en veiligheid, milieutribunalen, nationale mensenrechtenorganisaties en organisaties die zich richten op gelijke rechten in het bedrijfsleven, kunnen ook een rol spelen in het beschikbaar stellen van herstelmechanismen. Deze organisaties kunnen proactief schendingen onderzoeken en er toezicht op houden en kunnen ook regelgevende macht hebben om bestuurlijke sancties te kunnen opleggen aan bedrijven die de rechten van kinderen schenden. In alle gevallen moeten kinderen zich kunnen wenden tot onafhankelijke en onpartijdige rechtspraak of rechterlijke toetsing van administratieve procedures. </w:t>
      </w:r>
    </w:p>
    <w:p w14:paraId="372800C3"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Bij het bepalen van de hoogte of de vorm van het rechtsherstel moeten de mechanismen er rekening mee houden dat kinderen kwetsbaarder kunnen zijn voor de impact van het misbruik van hun rechten, dat de effecten onomkeerbaar kunnen zijn en tot levenslange schade kunnen leiden. Om rekening te houden met de ontwikkelende vermogens van kinderen, moet het herstel van de schade snel plaatsvinden zodat de continue en toekomstige schade voor het kind of de kinderen die betrokken zijn, wordt beperkt. Als kinderen zijn geïdentificeerd als slachtoffer van milieuverontreiniging, moeten alle betrokken partijen direct maatregelen nemen om verdere schade aan de gezondheid en ontwikkeling van kinderen te voorkomen en alle opgelopen schade te herstellen. De Staten die partij zijn, moeten zorgen voor medische en geestelijke ondersteuning, rechtsbijstand en maatregelen om kinderen die slachtoffer zijn van misbruik of geweld dat is veroorzaakt of waartoe is bijgedragen door zakelijke actoren te rehabiliteren.  Ze moeten ook waarborgen dat het misbruik niet opnieuw kan plaatsvinden, bijvoorbeeld door wetgeving en beleid en de toepassing ervan te herzien, waaronder vervolging en sanctie van de zakelijke actoren in kwestie.</w:t>
      </w:r>
    </w:p>
    <w:p w14:paraId="14B1F96E" w14:textId="77777777" w:rsidR="004D23C7" w:rsidRPr="004B7FCC" w:rsidRDefault="004D23C7" w:rsidP="004D23C7">
      <w:pPr>
        <w:pStyle w:val="HChG"/>
        <w:rPr>
          <w:rFonts w:eastAsia="Calibri"/>
        </w:rPr>
      </w:pPr>
      <w:r>
        <w:tab/>
        <w:t>V.</w:t>
      </w:r>
      <w:r>
        <w:tab/>
        <w:t>Verplichtingen van de Staten in specifieke contexten</w:t>
      </w:r>
    </w:p>
    <w:p w14:paraId="0ABABA78"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Zakelijke activiteiten en werkzaamheden kunnen op een groot aantal rechten van kinderen impact hebben.  Het Comité heeft echter de volgende niet-uitputtende, specifieke contexten benoemd waar de impact van zakelijke ondernemingen significant kan zijn en waar de wettelijke en institutionele kaders vaak niet voldoen, niet doeltreffend zijn of onder druk staan.</w:t>
      </w:r>
    </w:p>
    <w:p w14:paraId="38904857" w14:textId="77777777" w:rsidR="004D23C7" w:rsidRPr="004B7FCC" w:rsidRDefault="004D23C7" w:rsidP="004D23C7">
      <w:pPr>
        <w:pStyle w:val="H1G"/>
        <w:rPr>
          <w:rFonts w:eastAsia="Calibri"/>
        </w:rPr>
      </w:pPr>
      <w:r>
        <w:tab/>
        <w:t>A.</w:t>
      </w:r>
      <w:r>
        <w:tab/>
        <w:t>Dienstverlening voor het genot van de rechten van het kind</w:t>
      </w:r>
    </w:p>
    <w:p w14:paraId="1233F4AB"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Zakelijke ondernemingen en non-profitorganisaties kunnen een rol spelen in het verlenen van diensten die van vitaal belang zijn voor het genot van de rechten van het kind, zoals schoon water, sanitaire voorzieningen, onderwijs, transport, gezondheid, alternatieve zorg, energie en faciliteiten voor beveiliging en bewaring. Het Comité schrijft niet voor wat de vorm van deze dienstverlening moet hebben, maar het is belangrijk om te benadrukken dat Staten die partij zijn, niet worden uitgesloten van hun verplichtingen krachtens het Verdrag als zij diensten uitbesteden of privatiseren die impact hebben op de uitvoering van de rechten van het kind. </w:t>
      </w:r>
    </w:p>
    <w:p w14:paraId="6E3E0D66"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Staten die partij zijn, moeten specifieke maatregelen nemen die rekening houden met de betrokkenheid van de particuliere sector in de dienstverlening, om te verzekeren dat de rechten die in het Verdrag worden genoemd niet in het gedrang komen.</w:t>
      </w:r>
      <w:r w:rsidR="006D0AF8">
        <w:rPr>
          <w:rStyle w:val="FootnoteReference"/>
          <w:lang w:eastAsia="en-GB"/>
        </w:rPr>
        <w:footnoteReference w:id="15"/>
      </w:r>
      <w:r>
        <w:rPr>
          <w:rStyle w:val="SingleTxtGCar"/>
        </w:rPr>
        <w:t xml:space="preserve"> Ze zijn verplicht om de normen te bepalen overeenkomstig het Verdrag en hierop toe te zien. Onvoldoende toezicht, inspectie en controle van deze organen kan leiden tot ernstige schendingen van de rechten van het kind, zoals geweld, uitbuiting en verwaarlozing. Ze moeten ervoor zorgen dat dergelijke voorzieningen de toegang tot deze diensten voor kinderen niet belemmert op basis van niet-discriminerende criteria, met name krachtens het beginsel van bescherming tegen discriminatie, en dat in alle andere sectoren kinderen toegang hebben tot een toezichthoudende instantie, klachtenprocedures en in voorkomend geval tot gerechtelijke procedures die hu effectieve rechtsmiddelen kunnen bieden in geval van schendingen. Het Comité adviseert de aanwezigheid van een permanent controlemechanisme of -proces dat erop is gericht om te verzekeren dat alle niet-overheidsdienstverleners beleid, programma's en procedures hebben die in overeenstemming zijn met het Verdrag.</w:t>
      </w:r>
      <w:r w:rsidR="00DB7F04">
        <w:rPr>
          <w:rStyle w:val="FootnoteReference"/>
          <w:lang w:eastAsia="en-GB"/>
        </w:rPr>
        <w:footnoteReference w:id="16"/>
      </w:r>
    </w:p>
    <w:p w14:paraId="5D94F49E" w14:textId="77777777" w:rsidR="004D23C7" w:rsidRPr="004B7FCC" w:rsidRDefault="004D23C7" w:rsidP="004D23C7">
      <w:pPr>
        <w:pStyle w:val="H1G"/>
        <w:rPr>
          <w:rFonts w:ascii="Calibri" w:eastAsia="Calibri" w:hAnsi="Calibri"/>
          <w:sz w:val="22"/>
          <w:szCs w:val="22"/>
        </w:rPr>
      </w:pPr>
      <w:r>
        <w:tab/>
        <w:t>B.</w:t>
      </w:r>
      <w:r>
        <w:tab/>
        <w:t>De informele economie</w:t>
      </w:r>
    </w:p>
    <w:p w14:paraId="36794743"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In veel landen is een groot deel van de economisch actieve bevolking werkzaam in de informele economie, en vormt een significant aandeel van het bruto nationaal product. De rechten van het kind kunnen echter met name in het gedrang komen bij zakelijke activiteiten die buiten het wettelijk en institutioneel kader vallen die de rechten regelen en beschermen. Zo kunnen producten die in dit kader worden gemaakt of bereid, zoals speelgoed, kleding of levensmiddelen, voor kinderen ongezond en/of onveilig zijn. Ook worden er veel kinderen aan het werk gezien in verborgen gebieden van informeel werk, zoals in kleine familiebedrijven, de agrarische sector en de horeca. Bij dit soort werk horen vaak onzekere arbeidssituaties, lage, onregelmatige of geen beloning, gezondheidsrisico's, gebrek aan sociale zekerheid, beperkte vrijheid van vereniging en onvoldoende bescherming tegen discriminatie en geweld of exploitatie. Het kan kinderen ervan weerhouden naar school te gaan, huiswerk te maken en voldoende tijd te hebben om te rusten of te spelen, waarmee mogelijk artikel 28, 29 en 31 van het Verdrag worden geschonden. Bovendien moeten ouders of verzorgers werkzaam in de informele economie vaak lange dagen werken om een inkomen op bestaansniveau te verkrijgen, waardoor zij maar zeer beperkt de kans hebben om hun verantwoordelijkheden als ouder of verzorger te kunnen uitoefenen voor de kinderen onder hun hoede. </w:t>
      </w:r>
    </w:p>
    <w:p w14:paraId="65AFA476"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Staten die partij zijn, moeten maatregelen nemen om ervoor te zorgen dat de zakelijke activiteiten plaatsvinden in de toepasselijke wettelijke en institutionele kaders onder alle omstandigheden, ongeacht de omvang van de economische sector, zodat de rechten van kinderen duidelijk kunnen worden erkend en beschermd. Dit kunnen onder andere de volgende maatregelen zijn: bewustwording creëren, onderzoeken doen en gegevens verzamelen over de impact van de informele economie op de rechten van kinderen, de schepping van fatsoenlijke banen met voldoende salaris voor werkende ouders en verzorgers ondersteunen; duidelijke en voorspelbare wetgeving ten uitvoer brengen over het gebruik van land; verbeteren van de verstrekking van sociale bescherming voor gezinnen met een laag inkomen; ondernemingen in de informele economie ondersteunen door de verstrekking van vaardigheidstrainingen, mogelijkheden om te registreren, doeltreffende en flexibele kredietmogelijkheden en bancaire diensten, passende belastingregelingen en toegang tot markten.</w:t>
      </w:r>
    </w:p>
    <w:p w14:paraId="1E453BE1"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moeten arbeidsomstandigheden reguleren en ervoor zorgen dat kinderen worden beschermd tegen economische uitbuiting en werk dat gevaarlijk is of dat hun onderwijs of gezondheid of fysieke, geestelijke, spirituele, morele of sociale ontwikkeling in gevaar brengt. Dit soort werk vindt meestal, maar niet exclusief, plaats in de informele economie en in familiebedrijven. De Staten die partij zijn, zijn daarom verplicht om programma's te ontwikkelen en uit te voeren gericht op bedrijven in deze context, onder meer door internationale normen vast te stellen met betrekking tot de minimumleeftijd voor werk en passende werkomstandigheden, investeren in onderwijs en beroepsonderwijs en te zorgen voor de juiste begeleiding van kinderen naar hun werkende leven. Staten die partij zijn, moeten verzekeren dat sociale wetgeving en wetgeving met betrekking tot kinderbescherming iedereen bereikt, met name gezinnen in de informele economie.</w:t>
      </w:r>
    </w:p>
    <w:p w14:paraId="6116E7A0" w14:textId="77777777" w:rsidR="004D23C7" w:rsidRPr="004B7FCC" w:rsidRDefault="004D23C7" w:rsidP="004D23C7">
      <w:pPr>
        <w:pStyle w:val="H1G"/>
        <w:rPr>
          <w:rFonts w:eastAsia="Calibri"/>
        </w:rPr>
      </w:pPr>
      <w:r>
        <w:tab/>
        <w:t>C.</w:t>
      </w:r>
      <w:r>
        <w:tab/>
        <w:t>Rechten van kinderen en wereldwijd opererende bedrijven</w:t>
      </w:r>
    </w:p>
    <w:p w14:paraId="46C0CA81"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Zakelijke ondernemingen opereren steeds vaker op mondiaal niveau, via een complex netwerk van vestigingen, opdrachtnemers, leveranciers en joint ventures. De impact die zij hebben op de rechten van kinderen, positief of negatief, is meestal niet het gevolg van een handeling of nalatigheid van een enkel bedrijfsonderdeel, of dit nu de moedermaatschappij, vestiging, opdrachtnemer, leverancier is of anderen. In plaats daarvan kan het gaan om een verhouding of samenwerkingsverband tussen bedrijfsonderdelen met locaties in verschillende rechtsgebieden. Zo kunnen leveranciers betrokken zijn bij het inzetten van kinderarbeid, kunnen vestigingen betrokken zijn bij landonteigening en kunnen onderaannemers of licentiehouders betrokken zijn bij de verkoop van goederen en diensten die schadelijk zijn voor kinderen. In dit kader zijn er specifieke moeilijkheden voor Staten die partij zijn om te voldoen aan hun verplichting om de rechten van kinderen te eerbiedigen, beschermen en verwezenlijken. Dat komt onder andere omdat zakelijke ondernemingen vaak juridisch gescheiden entiteiten zijn die zijn gevestigd in verschillende rechtsgebieden, zelfs als ze opereren als een economische eenheid met het centrum van zijn activiteiten in het ene land (de Staat van oorsprong) en werkzaam een ander land (de Staat van ontvangst). </w:t>
      </w:r>
    </w:p>
    <w:p w14:paraId="6D25877C"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Krachtens het Verdrag hebben Staten die partij zijn de verplichting om de kinderrechten te eerbiedigen en te waarborgen voor ieder kind onder hun rechtsbevoegdheid. Het Verdrag beperkt de rechtsbevoegdheid van een Staat die partij is niet tot ‘grondgebied’. Overeenkomstig internationale wetgeving heeft het Comité de Staten die partij zijn al eerder aangespoord om de rechten te beschermen van kinderen die zich mogelijk buiten hun territoriale grenzen bevinden. Het Comité heeft ook benadrukt dat de verplichtingen van de Staten krachtens het Verdrag en de bijbehorende Facultatieve Protocollen van toepassing zijn op ieder kind in het territorium van een Staat die partij is en op alle kinderen onder de rechtsbevoegdheid van de Staat die partij is.</w:t>
      </w:r>
      <w:r w:rsidR="002E0E47">
        <w:rPr>
          <w:rStyle w:val="FootnoteReference"/>
          <w:lang w:eastAsia="en-GB"/>
        </w:rPr>
        <w:footnoteReference w:id="17"/>
      </w:r>
    </w:p>
    <w:p w14:paraId="53CB8AF8"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In het Facultatieve Protocol over de verkoop van kinderen, kinderprostitutie en kinderpornografie wordt ook expliciet verwezen naar extraterritoriale verplichtingen. In artikel 3, lid 1, staat dat elke Staat die partij is, ervoor zal zorgen dat minimaal de overtredingen genoemd in het artikel volledig onder het strafrecht van de Staat in kwestie vallen, ongeacht of dergelijke overtredingen in eigen land of internationaal zijn gepleegd. Onder artikel 3, lid 4, van Facultatieve Protocol over de verkoop van kinderen, kinderprostitutie en kinderpornografie kunnen rechtspersonen, inclusief zakelijke ondernemingen, aansprakelijk worden gesteld voor deze overtredingen, zowel strafrechtelijk, civielrechtelijk als bestuursrechtelijk.  Deze aanpak sluit aan bij andere mensenrechtenverdragen en instrumenten die verplichtingen opleggen aan Staten die partij zijn, om strafrechtelijke rechtsbevoegdheid over staatsburgers met betrekking tot onderwerpen als medeplichtigheid aan marteling, gedwongen verdwijning en apartheid, ongeacht waar de overtreding of de medeplichtigheid heeft plaatsgevonden. </w:t>
      </w:r>
    </w:p>
    <w:p w14:paraId="429F2DB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hebben verplichtingen om over de grenzen van hun territorium heen internationaal samen te werken voor de verwezenlijking van de rechten van het kind. In de preambule en de bepalingen van het Verdrag wordt consequent verwezen naar “het belang (...) van internationale samenwerking ter verbetering van de levensomstandigheden van kinderen in ieder land, in het bijzonder in de ontwikkelingslanden".</w:t>
      </w:r>
      <w:r w:rsidR="002E0E47" w:rsidRPr="00EB45CD">
        <w:rPr>
          <w:rStyle w:val="FootnoteReference"/>
          <w:lang w:eastAsia="en-GB"/>
        </w:rPr>
        <w:footnoteReference w:id="18"/>
      </w:r>
      <w:r>
        <w:rPr>
          <w:rStyle w:val="SingleTxtGCar"/>
        </w:rPr>
        <w:t xml:space="preserve"> General Comment nr. 5 benadrukt dat “de implementatie van het Verdrag een gemeenschappelijke inspanning is voor de Staten van de wereld”.</w:t>
      </w:r>
      <w:r w:rsidR="002E0E47" w:rsidRPr="00452A53">
        <w:rPr>
          <w:rStyle w:val="FootnoteReference"/>
          <w:lang w:eastAsia="en-GB"/>
        </w:rPr>
        <w:footnoteReference w:id="19"/>
      </w:r>
      <w:r>
        <w:rPr>
          <w:rStyle w:val="SingleTxtGCar"/>
        </w:rPr>
        <w:t xml:space="preserve"> Zo is de volledige verwezenlijking van de rechten van het kind krachtens het Verdrag voor een deel afhankelijk van de wijze waarop Staten die partij zijn, met elkaar samenwerken. Verder benadrukt het Comité dat het Verdrag nagenoeg universeel is geratificeerd. De verwezenlijking van de bepalingen moet daarom van groot en gelijk belang zijn voor zowel de Staten van oorsprong als de Staten van ontvangst van zakelijke ondernemingen. </w:t>
      </w:r>
    </w:p>
    <w:p w14:paraId="6FAA060B"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Staten van ontvangst hebben de primaire verantwoordelijkheid om de rechten van kinderen onder hun rechtsbevoegdheid te eerbiedigen, te beschermen en te verwezenlijken. Zij moeten verzekeren dat alle zakelijke ondernemingen, waaronder internationale bedrijven die binnen hun grenzen opereren, voldoende zijn gereguleerd binnen een wettelijk en institutioneel kader dat verzekert dat ze geen nadelige impact hebben op de rechten van het kind en deze geen schendingen in buitenlandse rechtsgebieden hebben gefaciliteerd of gesteund. </w:t>
      </w:r>
    </w:p>
    <w:p w14:paraId="68B6CD27"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Krachtens het Verdrag en de bijbehorende Facultatieve Protocollen hebben Staten van oorsprong ook de verplichting om de rechten van het kind te eerbiedigen, te beschermen en te verwezenlijken in de context van de extraterritoriale activiteiten en werkzaamheden van bedrijven, op voorwaarde dat er een redelijke verhouding is tussen de Staat en het betreffende gedrag. Er is sprake van een redelijke verhouding als een zakelijke onderneming in de betreffende Staat haar centrum van activiteit heeft, er geregistreerd of gevestigd is of er haar hoofdactiviteit of substantiële activiteiten uitoefent.</w:t>
      </w:r>
      <w:r w:rsidR="002E0E47">
        <w:rPr>
          <w:rStyle w:val="FootnoteReference"/>
          <w:lang w:eastAsia="en-GB"/>
        </w:rPr>
        <w:footnoteReference w:id="20"/>
      </w:r>
      <w:r>
        <w:rPr>
          <w:rStyle w:val="SingleTxtGCar"/>
        </w:rPr>
        <w:t xml:space="preserve"> Bij het vaststellen van maatregelen om aan de verplichting te voldoen mogen de Staten die partij zijn, het Handvest van de Verenigde Naties en algemene internationale wetgeving niet schenden of afbreuk doen aan de verplichtingen krachtens het Verdrag als Staat van ontvangst.</w:t>
      </w:r>
    </w:p>
    <w:p w14:paraId="47E9466E"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Staten die partij zijn, moeten ervoor zorgen dat kinderen en hun gezinnen wier rechten zijn geschonden door zakelijke ondernemingen internationaal toegang hebben tot doeltreffende wettelijke en niet-wettelijke mechanismen om herstel en/of verhaal te halen als er redelijke samenhang is tussen de Staat en de betreffende gedrag. Verder moeten de Staten zorgen voor internationale ondersteuning en samenwerking bij onderzoek en handhaving van procedures in andere Staten. </w:t>
      </w:r>
    </w:p>
    <w:p w14:paraId="5B3FCE10"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Maatregelen om de schending van de rechten van het kind door zakelijke ondernemingen als deze in het buitenland opereren tegen te gaan, zijn onder andere:</w:t>
      </w:r>
    </w:p>
    <w:p w14:paraId="39D12F6D" w14:textId="77777777" w:rsidR="004D23C7" w:rsidRPr="004B7FCC" w:rsidRDefault="004D23C7" w:rsidP="003F4FEF">
      <w:pPr>
        <w:pStyle w:val="Bullet1G"/>
        <w:numPr>
          <w:ilvl w:val="0"/>
          <w:numId w:val="7"/>
        </w:numPr>
        <w:ind w:left="1170" w:firstLine="540"/>
        <w:rPr>
          <w:rFonts w:eastAsia="Calibri"/>
        </w:rPr>
      </w:pPr>
      <w:r>
        <w:t xml:space="preserve">Toegang verschaffen tot overheidsfinanciën en andere vormen van overheidssteun, zoals verzekering, alleen op voorwaarde dat een onderneming een proces uitvoert om de negatieve impact op de rechten van kinderen in hun buitenlandse werkzaamheden te identificeren, te voorkomen of te verminderen; </w:t>
      </w:r>
    </w:p>
    <w:p w14:paraId="29154CDA" w14:textId="77777777" w:rsidR="004D23C7" w:rsidRPr="004B7FCC" w:rsidRDefault="004D23C7" w:rsidP="003F4FEF">
      <w:pPr>
        <w:pStyle w:val="Bullet1G"/>
        <w:numPr>
          <w:ilvl w:val="0"/>
          <w:numId w:val="7"/>
        </w:numPr>
        <w:ind w:left="1170" w:firstLine="540"/>
        <w:rPr>
          <w:rFonts w:eastAsia="Calibri"/>
        </w:rPr>
      </w:pPr>
      <w:r>
        <w:t xml:space="preserve">Het track record van bedrijven op het gebied van de rechten van het kind meewegen bij de bepaling van de verstrekking van </w:t>
      </w:r>
      <w:r>
        <w:rPr>
          <w:shd w:val="clear" w:color="auto" w:fill="FFFFFF"/>
        </w:rPr>
        <w:t xml:space="preserve">overheidsfinanciën en andere vormen van officiële steun; </w:t>
      </w:r>
    </w:p>
    <w:p w14:paraId="31322262" w14:textId="77777777" w:rsidR="004D23C7" w:rsidRPr="004B7FCC" w:rsidRDefault="004D23C7" w:rsidP="003F4FEF">
      <w:pPr>
        <w:pStyle w:val="Bullet1G"/>
        <w:numPr>
          <w:ilvl w:val="0"/>
          <w:numId w:val="7"/>
        </w:numPr>
        <w:ind w:left="1170" w:firstLine="540"/>
        <w:rPr>
          <w:rFonts w:eastAsia="Calibri"/>
        </w:rPr>
      </w:pPr>
      <w:r>
        <w:t xml:space="preserve">Verzekeren dat agentschappen die een belangrijke rol hebben in het bedrijfsleven, zoals exportkredietinstellingen, maatregelen nemen om elke negatieve impact op de rechten van het kind van de projecten die zij steunen te identificeren, voorkomen en verminderen voordat er steun wordt geboden aan ondernemingen die in het buitenland opereren. Verder moet van deze organisaties worden vereist dat zij geen activiteiten steunen die waarschijnlijk de oorzaak zijn van of bijdragen aan schendingen van de rechten van het kind. </w:t>
      </w:r>
    </w:p>
    <w:p w14:paraId="6B5DE59C"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Zowel Staten van ontvangst als Staten van oorsprong moeten een institutioneel en wettelijk kader vaststellen waardoor bedrijven in hun wereldwijde bedrijfsvoering de rechten van kinderen kunnen eerbiedigen. Staten van ontvangst moeten zorgen voor doeltreffende mechanismen zodat overheidsorganisaties die verantwoordelijk zijn voor de implementatie van het Verdrag en de bijbehorende Facultatieve Protocollen deze verantwoordelijkheden doeltreffend kunnen afstemmen met de organisaties die verantwoordelijk zijn voor handel en investeringen in het buitenland. Zij moeten ook capaciteit opbouwen zodat organisaties voor ontwikkelingshulp en handelsmissies in hun gesprekken met buitenlandse overheden over zakelijke onderwerpen ook de mensenrechten en rechten van het kind kunnen betrekken. Staten die zich houden aan de OESO-richtlijnen voor multinationale bedrijven moeten hun nationale contactpunten begeleiden bij het aanbieden van bemiddeling en verzoening bij kwesties die zich extraterritoriaal voordoen. Dit kunnen ze doen door ervoor te zorgen dat ze voldoende middelen hebben, onafhankelijk zijn en gehouden zijn aan een werkwijze die ervoor zorgt dat de rechten van het kind worden geëerbiedigd in de context van zakelijke aangelegenheden. Aanbevelingen die worden gegeven door organisaties als de nationale contactpunten van de OESO moeten de juiste bedoeling hebben.</w:t>
      </w:r>
    </w:p>
    <w:p w14:paraId="0C3E93FA" w14:textId="77777777" w:rsidR="004D23C7" w:rsidRPr="004B7FCC" w:rsidRDefault="004D23C7" w:rsidP="004D23C7">
      <w:pPr>
        <w:pStyle w:val="H1G"/>
        <w:rPr>
          <w:rFonts w:ascii="Calibri" w:eastAsia="Calibri" w:hAnsi="Calibri"/>
          <w:sz w:val="22"/>
          <w:szCs w:val="22"/>
        </w:rPr>
      </w:pPr>
      <w:r>
        <w:tab/>
        <w:t>D.</w:t>
      </w:r>
      <w:r>
        <w:tab/>
        <w:t>Internationale organisaties</w:t>
      </w:r>
    </w:p>
    <w:p w14:paraId="57BF8C80"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In artikel 4 van het Verdrag worden alle Staten die partij zijn, opgeroepen rechtstreeks samen te werken bij de verwezenlijking van de rechten van het Verdrag via internationale samenwerking en hun lidmaatschap van internationale organisaties. Voor wat betreft bedrijfsactiviteiten worden hieronder verstaan organisaties voor internationale ontwikkeling, financiën en handel, zoals de Wereldbank, het Internationaal Monetair Fonds en de Wereldhandelsorganisatie, en organisaties die een regionale reikwijdte hebben en waarin Staten gezamenlijk deelnemen. Als Staten die partij zijn, deelnemen aan dergelijke organisaties, moeten zij voldoen aan hun verplichtingen krachtens het Verdrag en de bijbehorende Facultatieve Protocollen. Ze mogen geen leningen accepteren van internationale organisaties of akkoord gaan met voorwaarden die door dergelijke organisaties zijn bepaald wanneer deze waarschijnlijk leiden tot schendingen van de rechten van het kind. Staten die partij zijn, houden ook hun verplichtingen op het gebied van ontwikkelingssamenwerking en moeten ervoor zorgen dat samenwerkingsbeleid en -programma's worden ontworpen en geïmplementeerd in overeenstemming met het Verdrag en de bijbehorende Facultatieve Protocollen. </w:t>
      </w:r>
    </w:p>
    <w:p w14:paraId="6A7DEA8E"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Een Staat die partij is, en betrokken is bij organisaties voor internationale ontwikkeling, financiën en handel, moet alle redelijke acties en maatregelen nemen om te verzekeren dat dergelijke organisaties in hun besluitvorming en activiteiten handelen in overeenstemming met het Verdrag en de bijbehorende Facultatieve Protocollen, evenals bij het aangaan van overeenkomsten of bij het vaststellen van richtlijnen met betrekking tot de zakelijke sector. Dergelijke acties en maatregelen moeten verder gaan dan de uitbanning van kinderarbeid, en moeten de volledige verwezenlijking van alle rechten van het kind als doel hebben. Internationale organisaties moeten normen en procedures hebben om een analyse te maken van het risico op schade voor het kind in relatie tot nieuwe projecten, en maatregelen nemen om het risico op dit soort schade te verminderen. Deze organisaties moeten maatregelen treffen en mechanismen in werking stellen om schendingen van de rechten van kinderen te identificeren, aan te pakken en op te lossen conform de bestaande internationale normen, ook als deze overeengekomen zijn door of het resultaat zijn van activiteiten die aan hen zijn gelieerd of die zij hebben gefinancierd.</w:t>
      </w:r>
    </w:p>
    <w:p w14:paraId="7B9C448A" w14:textId="77777777" w:rsidR="004D23C7" w:rsidRPr="004B7FCC" w:rsidRDefault="004D23C7" w:rsidP="004D23C7">
      <w:pPr>
        <w:pStyle w:val="H1G"/>
        <w:rPr>
          <w:rFonts w:ascii="Calibri" w:eastAsia="Calibri" w:hAnsi="Calibri"/>
          <w:sz w:val="22"/>
          <w:szCs w:val="22"/>
        </w:rPr>
      </w:pPr>
      <w:r>
        <w:tab/>
        <w:t>E.</w:t>
      </w:r>
      <w:r>
        <w:tab/>
        <w:t>Noodgevallen en conflictsituaties</w:t>
      </w:r>
    </w:p>
    <w:p w14:paraId="34FE651C"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Als bedrijven actief zijn in situaties waar de beschermende instanties vanwege conflicten, rampen of door een ontwrichting van de sociale orde of rechtsorde niet goed functioneren, brengt dit speciale uitdagingen mee voor de Staat van ontvangst en de Staat van oorsprong om te voldoen aan hun verplichting om de rechten van het kind te eerbiedigen, te beschermen en te verwezenlijken. Het is belangrijk om te benadrukken dat het Verdrag en de bijbehorende Facultatieve Protocollen te allen tijde van toepassing zijn en dat er geen bepalingen zijn die vrijstelling van de bepalingen tijdens noodsituaties toestaan. </w:t>
      </w:r>
    </w:p>
    <w:p w14:paraId="1E79AA22"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In dit soort omstandigheden kan er een groter risico zijn dat kinderarbeid wordt ingezet door zakelijke ondernemingen (inclusief toeleveringsketens en vestigingen), dat er kindsoldaten worden ingezet of dat er corruptie of belastingontduiking plaatsvindt. Gezien de verhoogde risico's moeten Staten van ontvangst zakelijke ondernemingen die actief zijn in nood- en conflictsituaties verplichten om een strikte due diligence-procedure inzake kinderrechten te voeren, afgestemd op hun grootte en activiteiten. Staten van oorsprong moeten ook wet- en regelgeving ontwikkelen en implementeren die specifieke voorzienbare risico's voor de rechten van het kind aanpakken bij zakelijke ondernemingen die internationaal opereren. Dit kan een verplichting inhouden om acties te publiceren die genomen zijn om te verzekeren dat de activiteiten van een bedrijf niet bijdragen aan ernstige schendingen van de rechten van het kind en een verbod op de verkoop en handel van wapens en andere vormen van militaire assistentie als de eindbestemming een land is waarvan bekend is dat kinderen worden gerekruteerd of worden gebruikt in vijandelijkheden, of als dit mogelijk het geval is. </w:t>
      </w:r>
    </w:p>
    <w:p w14:paraId="3C808E5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Een Staat van oorsprong moet bedrijven voorzien van actuele, accurate en uitgebreide informatie over de lokale context van de rechten van het kind als zij werkzaamheden uitvoeren in conflict- of noodsituaties of van plan zijn dit te doen. Dergelijke richtlijnen moeten benadrukken dat bedrijven in dat soort situaties dezelfde verantwoordelijkheden hebben om de kinderrechten te eerbiedigen als elders. In conflictgebieden kunnen kinderen slachtoffer worden van geweld, seksueel misbruik of uitbuiting, kinderhandel en gendergerelateerd geweld, en de Staten die partij zijn, moeten dit erkennen als ze ondernemingen hierover richtlijnen geven. </w:t>
      </w:r>
    </w:p>
    <w:p w14:paraId="2AE1EEC9"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Als er werkzaamheden worden verricht in een conflictgebied, moeten de verplichtingen van Staten van ontvangst en Staten van oorsprong krachtens de relevante bepalingen van het Verdrag worden benadrukt: Artikel 38 verplicht eerbied te hebben voor de regels van het internationaal humanitair recht, artikel 39 verplicht Staten om passende maatregelen te nemen om het geestelijk herstel en de herintegratie in de maatschappij te stimuleren, en het Facultatief Protocol over de betrokkenheid van kinderen bij gewapende conflicten bevat bepalingen met betrekking tot de rekrutering door strijdkrachten van kinderen die jonger zijn dan 18 jaar. Als ondernemingen actief zijn in gebieden die door conflict zijn getroffen, kunnen ze particuliere beveiligingsbedrijven inhuren en lopen ze het risico betrokken te raken bij overtredingen als uitbuiting en/of de inzet van geweld tegen kinderen bij de bewaking van faciliteiten of andere werkzaamheden. Om dit te voorkomen moeten de Staten van oorsprong en ontvangst zorgen voor de invoering en de implementatie van: nationale wetgeving die dit soort ondernemingen specifiek verbiedt om kinderen in te huren of in te zetten in vijandelijkheden; vereisten voor doeltreffende maatregelen om kinderen te beschermen tegen geweld en uitbuiting; en mechanismen om het personeel aansprakelijk te stellen voor de schending van de rechten van het kind. </w:t>
      </w:r>
    </w:p>
    <w:p w14:paraId="38925190" w14:textId="77777777" w:rsidR="004D23C7" w:rsidRPr="004B7FCC" w:rsidRDefault="004D23C7" w:rsidP="004D23C7">
      <w:pPr>
        <w:pStyle w:val="HChG"/>
        <w:rPr>
          <w:rFonts w:eastAsia="Calibri"/>
        </w:rPr>
      </w:pPr>
      <w:r>
        <w:tab/>
        <w:t>VI.</w:t>
      </w:r>
      <w:r>
        <w:tab/>
        <w:t>Kader voor implementatie</w:t>
      </w:r>
    </w:p>
    <w:p w14:paraId="604FD229" w14:textId="77777777" w:rsidR="004D23C7" w:rsidRPr="004B7FCC" w:rsidRDefault="004D23C7" w:rsidP="004D23C7">
      <w:pPr>
        <w:pStyle w:val="H1G"/>
        <w:rPr>
          <w:rFonts w:eastAsia="Calibri"/>
        </w:rPr>
      </w:pPr>
      <w:r>
        <w:tab/>
        <w:t>A.</w:t>
      </w:r>
      <w:r>
        <w:tab/>
        <w:t>Wet- en regelgeving en dwangmaatregelen</w:t>
      </w:r>
    </w:p>
    <w:p w14:paraId="713E485B" w14:textId="77777777" w:rsidR="004D23C7" w:rsidRPr="004B7FCC" w:rsidRDefault="004D23C7" w:rsidP="004D23C7">
      <w:pPr>
        <w:pStyle w:val="H23G"/>
        <w:rPr>
          <w:rFonts w:eastAsia="Calibri"/>
        </w:rPr>
      </w:pPr>
      <w:r>
        <w:tab/>
        <w:t>1.</w:t>
      </w:r>
      <w:r>
        <w:tab/>
        <w:t>Wet- en regelgeving</w:t>
      </w:r>
    </w:p>
    <w:p w14:paraId="7D6AC69D"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Wet- en regelgeving zijn essentiële instrumenten om te waarborgen dat de activiteiten en werkzaamheden van zakelijke ondernemingen de rechten van het kind niet negatief beïnvloeden of schenden. Staten die partij zijn, moeten wetgeving aannemen die de nakoming van de rechten van het kind door derden afdwingt en een helder en voorspelbaar wet- en regelgevend kader schept dat het voor zakelijke ondernemingen mogelijk maakt om de rechten van het kind te eerbiedigen. Om te voldoen aan hun verplichting om passende en redelijke wet- en regelgeving aan te nemen die verzekert dat zakelijke ondernemingen geen inbreuk plegen op de rechten van het kind, moeten Staten die partij zijn, gegevens en bewijs verzamelen en onderzoek doen om te identificeren welke bedrijfssectoren het specifiek betreft. </w:t>
      </w:r>
    </w:p>
    <w:p w14:paraId="0452631C" w14:textId="77777777" w:rsidR="004D23C7"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Conform artikel 18, lid 3, van het Verdrag moeten Staten arbeidsomstandigheden creëren voor zakelijke ondernemingen die werkende ouders en verzorgers de mogelijkheid biedt om te voldoen aan hun verantwoordelijkheden voor de kinderen waarvoor zij zorgen, zoals: het implementeren van beleid voor een gezinsvriendelijke werkomgeving inclusief ouderschapsverlof; bevorderen en faciliteren van borstvoeding; toegang tot kwalitatief goede faciliteiten voor kinderopvang; salarisbetaling die voldoende is voor een passende levensstandaard; bescherming tegen discriminatie en geweld in de werkomgeving; en een zekere en veilige werkomgeving.</w:t>
      </w:r>
    </w:p>
    <w:p w14:paraId="67B0D634" w14:textId="77777777" w:rsidR="004D23C7" w:rsidRPr="00807969" w:rsidRDefault="004D23C7" w:rsidP="003F4FEF">
      <w:pPr>
        <w:numPr>
          <w:ilvl w:val="0"/>
          <w:numId w:val="3"/>
        </w:numPr>
        <w:suppressAutoHyphens w:val="0"/>
        <w:autoSpaceDE w:val="0"/>
        <w:autoSpaceDN w:val="0"/>
        <w:adjustRightInd w:val="0"/>
        <w:spacing w:after="120"/>
        <w:ind w:left="1134" w:right="1134" w:firstLine="0"/>
        <w:jc w:val="both"/>
      </w:pPr>
      <w:r>
        <w:rPr>
          <w:rStyle w:val="SingleTxtGCar"/>
        </w:rPr>
        <w:t>Ineffectieve belastingsystemen, corruptie en mismanagement van overheidsinkomsten van onder andere staatsbedrijven en vennootschapsbelasting kunnen de middelen die beschikbaar zijn voor de naleving van de rechten van kinderen overeenkomstig artikel 14 van het Verdrag beperken. Naast de bestaande plichten krachtens instrumenten om omkoping en corruptie te voorkomen,</w:t>
      </w:r>
      <w:r w:rsidR="00BA3CC4">
        <w:rPr>
          <w:rStyle w:val="FootnoteReference"/>
          <w:rFonts w:eastAsia="Calibri"/>
        </w:rPr>
        <w:footnoteReference w:id="21"/>
      </w:r>
      <w:r>
        <w:rPr>
          <w:rStyle w:val="SingleTxtGCar"/>
        </w:rPr>
        <w:t xml:space="preserve"> moeten Staten die partij zijn, effectieve wet- en regelgeving ontwikkelen en implementeren om inkomsten uit alle bronnen te verkrijgen en beheersen, en transparantie, aansprakelijkheid en gelijkheid te verzekeren.</w:t>
      </w:r>
    </w:p>
    <w:p w14:paraId="0616691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moeten artikel 32 van het Verdrag implementeren om kinderen te beschermen tegen economische uitbuiting en het verrichten van voor hen gevaarlijk werk. Sommige kinderen zijn ouder dan de minimumleeftijd voor betaald werk, conform internationale normen, en kunnen dus legitiem werken als werknemer, maar moeten bijvoorbeeld nog steeds worden beschermd tegen werk dat gevaarlijk is voor hun gezondheid, veiligheid en zedelijke ontwikkeling. Ook moet hun recht op onderwijs, ontwikkeling en recreatie worden gestimuleerd en beschermd.</w:t>
      </w:r>
      <w:r w:rsidR="00BA3CC4">
        <w:rPr>
          <w:rStyle w:val="FootnoteReference"/>
          <w:lang w:eastAsia="en-GB"/>
        </w:rPr>
        <w:footnoteReference w:id="22"/>
      </w:r>
      <w:r>
        <w:rPr>
          <w:rStyle w:val="SingleTxtGCar"/>
        </w:rPr>
        <w:t xml:space="preserve"> Staten die partij zijn, moeten een minimumleeftijd voorschrijven voor arbeid; een passende regeling van werktijden en arbeidsvoorwaarden; en sancties ter waarborging van de effectieve uitvoering van artikel 32. Ze moeten zorgen voor een functionerende arbeidsinspectie en systemen voor toezicht en handhaving. Staten die partij zijn, moeten ook de twee fundamentele ILO-verdragen met betrekking tot kinderarbeid ratificeren en vaststellen in nationale wetgeving.</w:t>
      </w:r>
      <w:r w:rsidR="00BA3CC4">
        <w:rPr>
          <w:rStyle w:val="FootnoteReference"/>
          <w:lang w:eastAsia="en-GB"/>
        </w:rPr>
        <w:footnoteReference w:id="23"/>
      </w:r>
      <w:r>
        <w:rPr>
          <w:rStyle w:val="SingleTxtGCar"/>
        </w:rPr>
        <w:t xml:space="preserve">  Krachtens artikel 39 moeten de Staten die partij zijn, alle passende maatregelen nemen om het lichamelijk en geestelijk herstel en de herintegratie in de maatschappij van een kind dat het slachtoffer is van elke vorm ook van verwaarlozing, uitbuiting of misbruik, waaronder economische uitbuiting, te bevorderen.</w:t>
      </w:r>
    </w:p>
    <w:p w14:paraId="24CAC69D"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zijn ook verplicht om internationaal overeengekomen normen over de rechten van het kind, gezondheid en het bedrijfsleven, waaronder de Kaderovereenkomst inzake de bestrijding van het tabaksgebruik van de Wereldgezondheidsorganisatie (WHO) en de Internationale gedragscode voor het op de markt brengen van vervangingsmiddelen voor moedermelk, en andere relevante verdragen van de Wereldgezondheidsraad. Het Comité is zich ervan bewust dat de activiteiten en bedrijfsvoering van de farmaceutische industrie een enorme impact kunnen hebben op de gezondheid van kinderen. Farmaceutische bedrijven moeten aangemoedigd worden om de toegang tot en de beschikbaarheid, aanvaardbaarheid en kwaliteit van medicijnen voor kinderen te verbeteren, rekening houdend met de huidige richtlijnen.</w:t>
      </w:r>
      <w:r w:rsidR="00BA3CC4">
        <w:rPr>
          <w:rStyle w:val="FootnoteReference"/>
          <w:lang w:eastAsia="en-GB"/>
        </w:rPr>
        <w:footnoteReference w:id="24"/>
      </w:r>
      <w:r>
        <w:rPr>
          <w:rStyle w:val="SingleTxtGCar"/>
        </w:rPr>
        <w:t xml:space="preserve"> Verder moeten intellectuele eigendomsrechten worden toegepast op een manier dat de betaalbaarheid van medicijnen wordt gepromoot.</w:t>
      </w:r>
      <w:r w:rsidR="00BA3CC4">
        <w:rPr>
          <w:rStyle w:val="FootnoteReference"/>
          <w:lang w:eastAsia="en-GB"/>
        </w:rPr>
        <w:footnoteReference w:id="25"/>
      </w:r>
      <w:r>
        <w:rPr>
          <w:rStyle w:val="SingleTxtGCar"/>
        </w:rPr>
        <w:t xml:space="preserve"> </w:t>
      </w:r>
    </w:p>
    <w:p w14:paraId="12324968"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De massamedia, waaronder de reclame- en marketingbranche, kunnen een positieve én een negatieve impact hebben op de rechten van het kind. Krachtens artikel 17 van het Verdrag hebben de Staten die partij zijn verplichtingen om de massamedia, waaronder particuliere media, aan te moedigen om informatie en materialen te verspreiden die van maatschappelijk en cultureel belang zijn voor het kind, zoals met betrekking tot een gezonde levensstijl. De media moeten passend gereguleerd worden om kinderen te beschermen tegen schadelijke informatie, met name pornografische materialen en materialen waarin (het gebruik van) geweld wordt weergegeven, discriminatie en seksuele beelden van kinderen; tegelijkertijd moet het recht van kinderen op informatie en vrijheid van meningsuiting worden erkend. Staten die partij zijn, moeten de massamedia aanmoedigen om richtlijnen te ontwikkelen voor het volledig eerbiedigen van de rechten van het kind in alle media, waaronder de bescherming van kinderen tegen geweld en beelden die discriminatie bestendigen. Staten die partij zijn, moeten uitzonderingen op het auteursrecht vaststellen waarmee het mogelijk wordt om boeken en andere gedrukte publicaties opnieuw uit te brengen in vormen die toegankelijk zijn voor kinderen met een visuele beperking of andere beperkingen. </w:t>
      </w:r>
    </w:p>
    <w:p w14:paraId="2E36E27D"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Kinderen kunnen marketing- en reclame-uitingen in de media beschouwen als waarachtig en objectief, en op basis daarvan producten consumeren en gebruiken die schadelijk zijn. Reclame en marketing kunnen ook een krachtige invloed hebben op het zelfvertrouwen van kinderen, bijvoorbeeld wanneer er onrealistische lichaamsbeelden worden getoond. Staten die partij zijn, moeten ervoor zorgen dat marketing en reclame geen negatieve impact heeft op de rechten van het kind door passende regelgeving aan te nemen en zakelijke ondernemingen aan te moedigen om zich te houden aan gedragscodes en om duidelijk en nauwkeurige etiketten en productomschrijvingen te gebruiken zodat ouders en kinderen geïnformeerde consumentenkeuzes kunnen maken.</w:t>
      </w:r>
    </w:p>
    <w:p w14:paraId="0A9BA8BC"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Digitale media behoeven bijzondere aandacht, omdat veel kinderen internetgebruikers kunnen zijn maar ook slachtoffer kunnen worden van geweld zoals cyberpesten, grooming, mensenhandel of seksueel misbruik en uitbuiting via internet. Hoewel bedrijven misschien niet rechtstreeks betrokken zijn bij dergelijke criminele activiteiten, kunnen ze hier wel medeplichtig aan zijn via hun activiteiten. Zo kunnen onlinereisbureaus kindersekstoerisme faciliteren door informatie over sekstoerisme te verstrekken en sekstoerisme-activiteiten te plannen. Kinderpornografie kan indirect mogelijk worden gemaakt door onlinebedrijven en creditcardmaatschappijen. Naast het voldoen aan de verplichtingen krachtens het Facultatieve Protocol over de verkoop van kinderen, kinderprostitutie en kinderpornografie, moeten de Staten die partij zijn, kinderen informatie aanbieden over veilig internetgebruik die past bij hun leeftijd, zodat ze de risico's kennen en weten waar ze terecht kunnen voor hulp. Ze moeten dit afstemmen met de sectoren voor informatie- en communicatietechnologie zodat de juiste maatregelen om kinderen te beschermen tegen gewelddadige en ongepaste materialen worden ontwikkeld en toegepast. </w:t>
      </w:r>
    </w:p>
    <w:p w14:paraId="10A4E72D" w14:textId="77777777" w:rsidR="004D23C7" w:rsidRPr="004B7FCC" w:rsidRDefault="004D23C7" w:rsidP="004D23C7">
      <w:pPr>
        <w:pStyle w:val="H23G"/>
        <w:rPr>
          <w:rFonts w:eastAsia="Calibri"/>
        </w:rPr>
      </w:pPr>
      <w:r>
        <w:tab/>
        <w:t>2.</w:t>
      </w:r>
      <w:r>
        <w:tab/>
        <w:t>Dwangmaatregelen</w:t>
      </w:r>
    </w:p>
    <w:p w14:paraId="214569A3"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factoren die over het algemeen leiden tot problemen voor kinderen zijn het gebrek aan implementatie van wetgeving voor het bedrijfsleven of de slechte handhaving ervan. Staten die partij zijn, moeten een aantal maatregelen toepassen voor een doeltreffende implementatie en handhaving, waaronder:</w:t>
      </w:r>
    </w:p>
    <w:p w14:paraId="7EF26635" w14:textId="77777777" w:rsidR="004D23C7" w:rsidRPr="004B7FCC" w:rsidRDefault="004D23C7" w:rsidP="003F4FEF">
      <w:pPr>
        <w:pStyle w:val="Bullet1G"/>
        <w:numPr>
          <w:ilvl w:val="0"/>
          <w:numId w:val="6"/>
        </w:numPr>
        <w:ind w:left="1170" w:firstLine="540"/>
        <w:rPr>
          <w:rFonts w:eastAsia="Calibri"/>
          <w:color w:val="111111"/>
        </w:rPr>
      </w:pPr>
      <w:r>
        <w:t>Versterken van regelgevende instanties die verantwoordelijk zijn voor het toezicht op normen die van toepassing zijn op kinderrechten zoals gezondheid en veiligheid, consumentenrechten, onderwijs, milieu, arbeid en reclame en marketing, zodat ze voldoende macht en middelen hebben om toezicht te houden, klachten te onderzoeken en rechtsmiddelen in te zetten tegen schendingen van de rechten van het kind</w:t>
      </w:r>
      <w:r>
        <w:rPr>
          <w:color w:val="111111"/>
        </w:rPr>
        <w:t>;</w:t>
      </w:r>
    </w:p>
    <w:p w14:paraId="3447F0D9" w14:textId="77777777" w:rsidR="004D23C7" w:rsidRPr="004B7FCC" w:rsidRDefault="004D23C7" w:rsidP="003F4FEF">
      <w:pPr>
        <w:pStyle w:val="Bullet1G"/>
        <w:numPr>
          <w:ilvl w:val="0"/>
          <w:numId w:val="6"/>
        </w:numPr>
        <w:ind w:left="1170" w:firstLine="540"/>
        <w:rPr>
          <w:rFonts w:eastAsia="Calibri"/>
        </w:rPr>
      </w:pPr>
      <w:r>
        <w:t xml:space="preserve">Wet- en regelgeving met betrekking tot de rechten van het kind en het bedrijfsleven te verspreiden onder belanghebbenden, waaronder kinderen en zakelijke ondernemingen; </w:t>
      </w:r>
    </w:p>
    <w:p w14:paraId="46EF7665" w14:textId="77777777" w:rsidR="004D23C7" w:rsidRPr="004B7FCC" w:rsidRDefault="004D23C7" w:rsidP="003F4FEF">
      <w:pPr>
        <w:pStyle w:val="Bullet1G"/>
        <w:numPr>
          <w:ilvl w:val="0"/>
          <w:numId w:val="6"/>
        </w:numPr>
        <w:ind w:left="1170" w:firstLine="540"/>
        <w:rPr>
          <w:rFonts w:eastAsia="Calibri"/>
        </w:rPr>
      </w:pPr>
      <w:r>
        <w:t>Rechters, gerechtsambtenaren, advocaten en juridische medewerkers opleiden om ervoor te zorgen dat het Verdrag en de bijbehorende protocollen over het bedrijfsleven en de rechten van het kind op de juiste wijze worden toegepast. Dit geldt ook voor het bevorderen van de normen voor internationale mensenrechten en toepasselijke nationale wetgeving ende ontwikkeling van nationale jurisprudentie;</w:t>
      </w:r>
    </w:p>
    <w:p w14:paraId="6B9DD80E" w14:textId="77777777" w:rsidR="004D23C7" w:rsidRPr="004B7FCC" w:rsidRDefault="004D23C7" w:rsidP="003F4FEF">
      <w:pPr>
        <w:pStyle w:val="Bullet1G"/>
        <w:numPr>
          <w:ilvl w:val="0"/>
          <w:numId w:val="6"/>
        </w:numPr>
        <w:ind w:left="1170" w:firstLine="540"/>
        <w:rPr>
          <w:rFonts w:eastAsia="Calibri"/>
        </w:rPr>
      </w:pPr>
      <w:r>
        <w:t>Zorgdragen voor effectief herstel en/of verhaal via wetgevende of niet-wetgevende mechanismen, en effectieve toegang tot het recht bieden.</w:t>
      </w:r>
    </w:p>
    <w:p w14:paraId="21768959" w14:textId="77777777" w:rsidR="004D23C7" w:rsidRPr="004B7FCC" w:rsidRDefault="004D23C7" w:rsidP="004D23C7">
      <w:pPr>
        <w:pStyle w:val="H23G"/>
        <w:rPr>
          <w:rFonts w:eastAsia="Calibri"/>
        </w:rPr>
      </w:pPr>
      <w:r>
        <w:tab/>
        <w:t>3.</w:t>
      </w:r>
      <w:r>
        <w:tab/>
        <w:t>De rechten van het kind en due diligence door zakelijke ondernemingen</w:t>
      </w:r>
    </w:p>
    <w:p w14:paraId="5B7FE356"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Om te voldoen aan hun verplichtingen om maatregelen te nemen om ervoor te zorgen dat zakelijke ondernemingen de rechten van het kind eerbiedigen, moeten Staten die partij zijn, bedrijven verplichten om due diligence uit te voeren op het gebied van kinderrechten. Zo kunnen ondernemingen hun risico op de rechten van het kind identificeren, voorkomen en verminderen, ook via hun zakelijke relaties en binnen mondiale werkzaamheden.</w:t>
      </w:r>
      <w:r w:rsidR="00931A1F">
        <w:rPr>
          <w:rStyle w:val="FootnoteReference"/>
          <w:lang w:eastAsia="en-GB"/>
        </w:rPr>
        <w:footnoteReference w:id="26"/>
      </w:r>
      <w:r>
        <w:rPr>
          <w:rStyle w:val="SingleTxtGCar"/>
        </w:rPr>
        <w:t xml:space="preserve"> Wanneer het risico dat zakelijke ondernemingen betrokken zijn bij de schending van de rechten van het kind hoog is vanwege de aard van hun werkzaamheden of de context waarbinnen zij werken, moeten Staten die partij zijn, een strenger proces van due diligence en een effectief monitoringsysteem eisen. </w:t>
      </w:r>
    </w:p>
    <w:p w14:paraId="5441496F"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Als due diligence op het gebied van kinderrechten is opgenomen in een algemeen proces van due diligence op het gebied van mensenrechten, is het zeer belangrijk dat de bepalingen van het Verdrag en de bijbehorende Facultatieve Protocollen invloed hebben op de besluiten. Ieder actieplan en iedere maatregel om mensenrechtenschending te voorkomen en/of op te lossen moet in het bijzonder rekening houden met het gedifferentieerde risico voor kinderen. </w:t>
      </w:r>
    </w:p>
    <w:p w14:paraId="67AB1671"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Staten die partij zijn, moeten het goede voorbeeld geven, wat betekent dat alle staatsbedrijven een due diligence op kinderrechtengebied moeten uitvoeren en hun rapporten over de impact op de rechten van het kind openbaar moeten maken, inclusief reguliere rapportages. Staten die partij zijn, moeten de uitvoering van een due diligence op kinderrechtengebied als voorwaarde stellen voor het toewijzen van overheidssteun en -diensten door bijvoorbeeld een exportkredietinstelling. </w:t>
      </w:r>
    </w:p>
    <w:p w14:paraId="2988D534"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Onderdeel van de due diligence op kinderrechtengebied is dat grote zakelijke ondernemingen moeten worden aangemoedigd, en waar van toepassing worden verplicht, om hun inspanningen om de effecten op de kinderrechten aan te pakken openbaar te maken. Dit soort communicatie moet beschikbaar, efficiënt en tussen bedrijven vergelijkbaar zijn. Het moet informatie bevatten over de maatregelen van ondernemingen om de potentiële en daadwerkelijke risico's voor kinderen veroorzaakt door hun activiteiten te verminderen. Zakelijke ondernemingen moeten verplicht zijn om de activiteiten die worden genomen om ervoor te zorgen dat bij de goederen en diensten die zij produceren of bewerken geen betrokkenheid is bij ernstige schendingen van de kinderrechten, zoals slavernij of dwangarbeid. Als rapporteren verplicht is, moeten Staten die partij zijn, mechanismen invoeren voor verificatie en toezicht om naleving te waarborgen. Staten die partij zijn, kunnen het rapporteren stimuleren door instrumenten te creëren om goede prestaties op het gebied van de kinderrechten te vergelijken en te herkennen. </w:t>
      </w:r>
    </w:p>
    <w:p w14:paraId="0167F1CE" w14:textId="77777777" w:rsidR="004D23C7" w:rsidRPr="004B7FCC" w:rsidRDefault="004D23C7" w:rsidP="004D23C7">
      <w:pPr>
        <w:pStyle w:val="H1G"/>
        <w:rPr>
          <w:rFonts w:eastAsia="Calibri"/>
        </w:rPr>
      </w:pPr>
      <w:r>
        <w:tab/>
        <w:t>B.</w:t>
      </w:r>
      <w:r>
        <w:tab/>
        <w:t>Herstelmaatregelen</w:t>
      </w:r>
    </w:p>
    <w:p w14:paraId="0BB40B02"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Het is voor kinderen vaak moeilijk om toegang te krijgen tot het rechtssysteem om effectieve rechtsmiddelen te zoeken voor de misbruik of schending van hun rechten wanneer hier zakelijke ondernemingen bij betrokken zijn. Kinderen hebben minder juridische status, wat hen verhindert om in beroep te gaan; kinderen en hun gezin hebben vaak geen kennis over hun rechten en de mechanismen en procedures die hun ter beschikking staan om in beroep te gaan of hebben geen vertrouwen in het rechtssysteem. Staten die partij zijn, onderzoeken niet altijd strafrechtelijke, civielrechtelijke of bestuursrechtelijke overtredingen door zakelijke ondernemingen. De machtsbalans tussen kinderen en bedrijven slaat vaak door in het nadeel van kinderen. De hoge kosten die verbonden zijn aan het procederen tegen ondernemingen en moeilijkheid om juridische vertegenwoordiging te krijgen vormen vaak een belemmering. Zaken waarin ondernemingen zijn betrokken worden vaak buiten de rechtszaal afgehandeld, zonder dat er een vaste rechtspraak is ontwikkeld; als kinderen en hun gezin in rechtsgebieden wonen waar de juridische precedenten overtuigend zijn, kunnen zij mogelijk nog eerder afzien van juridische vervolging gezien de onzekerheid over de uitkomst. </w:t>
      </w:r>
    </w:p>
    <w:p w14:paraId="151714C9"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Het is met name moeilijk om herstel en/of verhaal te halen voor misbruik dat plaatsvindt in de context van de mondiale werkzaamheden van een onderneming. Dochterondernemingen en dergelijke zijn mogelijk onverzekerd of beperkt aansprakelijk; de manier waarop multinationale ondernemingen zijn gestructureerd in verschillende entiteiten kan het moeilijk maken om de juridische verantwoordelijkheid voor iedere entiteit te identificeren en vast te stellen; toegang tot informatie en bewijs op verschillende locaties in verschillende landen kan het opbouwen en verdedigen van een zaak bemoeilijken; juridische bijstand kan lastig te krijgen zijn in buitenlandse rechtsgebieden en er kunnen verschillende wettelijke en procedurele hindernissen worden ingezet om internationale claims tegen te gaan. </w:t>
      </w:r>
    </w:p>
    <w:p w14:paraId="318525D2"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moeten hun aandacht richten op het wegnemen van maatschappelijke, economische en juridische barrières, zodat kinderen in de praktijk toegang kunnen krijgen tot effectieve juridische mechanismen zonder discriminatie van welk aard dan ook. Kinderen en hun vertegenwoordigers moeten informatie ontvangen over rechtsmiddelen via bijvoorbeeld de schoolprogramma's, jongerencentra of programma's in de gemeenschap. Om gelijke kansen te waarborgen moeten zij altijd in staat worden gesteld om in eigen naam een rechtsprocedure te starten en toegang te hebben tot rechtsbijstand en de ondersteuning van advocaten en juridische hulpverlening om een procedure aan te spannen tegen zakelijke ondernemingen. Staten die partij zijn, die nog geen bepalingen hebben voor collectieve aanklachten, zoals groepsvorderingen en rechtsgeschillen van algemeen belang, moeten deze introduceren als een manier om de toegang tot het rechtssysteem te vergroten voor een groot aantal kinderen die op gelijke wijze zijn benadeeld door activiteiten van een onderneming. Staten die partij zijn, moeten ook kunnen voorzien in speciale ondersteuning voor kinderen voor wie de toegang tot het recht wordt belemmerd vanwege bijvoorbeeld de taal of een handicap, of omdat ze erg jong zijn.</w:t>
      </w:r>
    </w:p>
    <w:p w14:paraId="5C08AD5C"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Leeftijd mag geen barrière zijn voor het recht van een kind om volledig deel te nemen aan het recht. Er moeten ook speciale arrangementen worden ontwikkeld voor kinderen die slachtoffer of getuige zijn, in zowel civiele als strafrechtelijke zaken, conform General Comment nr. 12 van het Comité. Staten moeten ook de Richtlijnen voor rechtspleging in zaken waarbij minderjarige slachtoffers en getuigen van misdrijven betrokken zijn implementeren.</w:t>
      </w:r>
      <w:r w:rsidR="00931A1F">
        <w:rPr>
          <w:rStyle w:val="FootnoteReference"/>
          <w:lang w:eastAsia="en-GB"/>
        </w:rPr>
        <w:footnoteReference w:id="27"/>
      </w:r>
      <w:r>
        <w:rPr>
          <w:rStyle w:val="SingleTxtGCar"/>
        </w:rPr>
        <w:t xml:space="preserve"> Vertrouwelijkheid en privacy moeten worden gerespecteerd en kinderen moeten op de hoogte worden gehouden van de voortgang in alle fasen van het proces. Er moet passend gewicht worden toegekend aan de volwassenheid van het kind en eventuele moeilijkheden die ze hebben op het gebied van spraak, taal of communicatie.</w:t>
      </w:r>
    </w:p>
    <w:p w14:paraId="53EF903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Facultatieve Protocol over de verkoop van kinderen, kinderprostitutie en kinderpornografie vereist dat Staten die partij zijn, strafwetgeving aannemen die ook van toepassing is op rechtspersonen, waaronder zakelijke ondernemingen. Staten die partij zijn, moeten overwegen om strafrechtelijke aansprakelijkheid voor rechtspersonen vast te stellen, ook voor zakelijke ondernemingen, in zaken die een ernstige schending van de rechten van het kind betreffen zoals dwangarbeid, of een andere vorm van juridische aansprakelijkheid die op dezelfde wijze afschrikt. Nationale tribunalen moeten rechtsbevoegd zijn over deze ernstige overtredingen, overeenkomstig gangbare bevoegdheidsregels.</w:t>
      </w:r>
    </w:p>
    <w:p w14:paraId="287CF583"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Buitengerechtelijke mechanismen zoals bemiddeling, verzoening en arbitrage kunnen bruikbare alternatieven zijn om conflicten op te lossen waar kinderen en ondernemingen bij betrokken zijn. Ze moeten beschikbaar zijn onverminderd het recht om herstel en/of verhaal te halen. Dergelijke mechanismen kunnen een belangrijke rol spelen naast gerechtelijke procedures, mits ze in overeenstemming zijn met het Verdrag en de bijbehorende Facultatieve Protocollen en de internationale beginselen en normen van doeltreffendheid, snelheid en een eerlijke en rechtvaardige rechtsgang. Bezwaarmechanismen die zijn vastgesteld door zakelijke ondernemingen kunnen flexibele en snelle oplossingen bieden. Het kan soms in het belang van het kind zijn om bezorgdheid die wordt geuit over het gedrag van een bedrijf via hen op te lossen. Deze mechanismen moeten voldoen aan de volgende criteria: toegankelijkheid, rechtmatigheid, voorspelbaarheid, billijkheid, verenigbaarheid met de wet en transparantie, en dienen gebaseerd te zijn op het zoeken van acceptabele oplossingen en dialoog.</w:t>
      </w:r>
      <w:r w:rsidR="00931A1F">
        <w:rPr>
          <w:rStyle w:val="FootnoteReference"/>
          <w:lang w:eastAsia="en-GB"/>
        </w:rPr>
        <w:footnoteReference w:id="28"/>
      </w:r>
      <w:r>
        <w:rPr>
          <w:rStyle w:val="SingleTxtGCar"/>
        </w:rPr>
        <w:t xml:space="preserve"> In alle gevallen moeten rechtstoegang of rechterlijke toetsing of rechterlijke oplossingen of andere procedures beschikbaar zijn. </w:t>
      </w:r>
    </w:p>
    <w:p w14:paraId="5CE36067" w14:textId="48FA36EE"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moeten al het mogelijke doen om toegang to</w:t>
      </w:r>
      <w:r w:rsidR="003D5DE0">
        <w:rPr>
          <w:rStyle w:val="SingleTxtGCar"/>
        </w:rPr>
        <w:t>t</w:t>
      </w:r>
      <w:r>
        <w:rPr>
          <w:rStyle w:val="SingleTxtGCar"/>
        </w:rPr>
        <w:t xml:space="preserve"> internationale en regionale mechanismen voor mensenrechten te vergemakkelijken, waaronder het Facultatieve Protocol bij het Verdrag inzake de rechten van het kind over een communicatieprocedure, zodat een individueel kind of een groep kinderen of anderen die namens het kind optreden de mogelijkheid hebben op herstel en/of verhaal voor het falen van de Staat die partij is, om op adequate wijze de rechten van het kind te eerbiedigen, te beschermen en te verwezenlijken met betrekking tot de activiteiten en bedrijfsvoering van ondernemingen. </w:t>
      </w:r>
    </w:p>
    <w:p w14:paraId="19F64A01" w14:textId="77777777" w:rsidR="004D23C7" w:rsidRPr="004B7FCC" w:rsidRDefault="004D23C7" w:rsidP="004D23C7">
      <w:pPr>
        <w:pStyle w:val="H1G"/>
        <w:rPr>
          <w:rFonts w:eastAsia="Calibri"/>
        </w:rPr>
      </w:pPr>
      <w:r>
        <w:tab/>
        <w:t>C.</w:t>
      </w:r>
      <w:r>
        <w:tab/>
        <w:t>Beleidsmaatregelen</w:t>
      </w:r>
    </w:p>
    <w:p w14:paraId="1881C223"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Staten die partij zijn, moeten een zakelijke cultuur creëren met begrip en volledig respect voor de rechten van het kind. Hiertoe moeten Staten die partij zijn, het onderwerp kinderrechten en bedrijfsleven opnemen in het kader van het hele nationale beleid voor implementatie van het Verdrag. Ze moeten richtlijnen ontwikkelen die expliciet de verwachtingen benoemen die de overheid heeft van zakelijke ondernemingen in het kader van het eerbiedigen van de rechten van kinderen in het kader van de eigen zakelijke activiteiten, ook in de zakelijke relaties die samenhangen met bedrijfsvoering, producten of diensten en activiteiten in het buitenland als ze internationaal opereren. Dit is inclusief de implementatie van beleid waarin geen enkel geweld wordt getolereerd in zakelijke activiteiten en beleidsvoering. Zoals vereist moeten Staten die partij zijn, ondernemingen wijzen op de relevante initiatieven voor maatschappelijk verantwoord ondernemen en stimuleren dat ze zich hieraan conformeren. </w:t>
      </w:r>
    </w:p>
    <w:p w14:paraId="45016DE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Kleine en middelgrote bedrijven vertegenwoordigen in vele opzichten een groot deel van de economie. Het is met name belangrijk dat de Staten die partij zijn, hun voorzien van gemakkelijk beschikbare advies en ondersteuning op maat bij het eerbiedigen van de rechten van het kind en voldoen aan nationale wetgeving zonder onnodige administratieve rompslomp. Staten die partij zijn, moeten ook grotere bedrijven aanmoedigen om hun invloed te gebruiken bij kleine en middelgrote bedrijven om de rechten van het kind door de hele waardeketen te versterken. </w:t>
      </w:r>
    </w:p>
    <w:p w14:paraId="62E2827F" w14:textId="77777777" w:rsidR="004D23C7" w:rsidRPr="004B7FCC" w:rsidRDefault="004D23C7" w:rsidP="004D23C7">
      <w:pPr>
        <w:pStyle w:val="H1G"/>
        <w:rPr>
          <w:spacing w:val="5"/>
          <w:kern w:val="28"/>
        </w:rPr>
      </w:pPr>
      <w:r>
        <w:tab/>
        <w:t>D.</w:t>
      </w:r>
      <w:r>
        <w:tab/>
        <w:t>Coördinatie en controlemaatregelen</w:t>
      </w:r>
    </w:p>
    <w:p w14:paraId="26B52FD5" w14:textId="77777777" w:rsidR="004D23C7" w:rsidRPr="004B7FCC" w:rsidRDefault="004D23C7" w:rsidP="004D23C7">
      <w:pPr>
        <w:pStyle w:val="H23G"/>
      </w:pPr>
      <w:r>
        <w:tab/>
        <w:t>1.</w:t>
      </w:r>
      <w:r>
        <w:tab/>
        <w:t>Coördinatie</w:t>
      </w:r>
    </w:p>
    <w:p w14:paraId="0FF8D539"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volledige implementatie van het Verdrag en de bijbehorende Facultatieve Protocollen vereist een effectieve, sectoroverschrijdende coördinatie tussen agentschappen en departementen en op verschillende overheidsniveaus, van lokaal naar regionaal en centraal.</w:t>
      </w:r>
      <w:r w:rsidR="00931A1F">
        <w:rPr>
          <w:rStyle w:val="FootnoteReference"/>
          <w:lang w:eastAsia="en-GB"/>
        </w:rPr>
        <w:footnoteReference w:id="29"/>
      </w:r>
      <w:r>
        <w:rPr>
          <w:rStyle w:val="SingleTxtGCar"/>
        </w:rPr>
        <w:t xml:space="preserve"> Normaal gesproken werken de afdelingen en organisaties die rechtstreeks betrokken zijn bij ondernemingsbeleid en activiteiten gescheiden van de afdelingen en agentschappen die rechtstreeks verantwoordelijk zijn voor de rechten van het kind. Staten die partij zijn, moeten ervoor zorgen dat overheidsorganen en parlementariërs die vormgeven aan ondernemingsrecht en bedrijfsvoering zich bewust zijn van de verplichtingen van de Staat met betrekking tot de rechten van het kind. Ze hebben mogelijk relevante informatie, training en ondersteuning nodig zodat ze toegerust zijn om volledig te voldoen aan het Verdrag wanneer ze wetten en beleid ontwerpen en deelnemen aan economische overeenkomsten, handelsovereenkomsten en investeringsovereenkomsten. Nationale mensenrechtenorganisaties kunnen een belangrijke rol hebben in het bij elkaar brengen van verschillende departementen die zich bezighouden met kinderrechten en het bedrijfsleven,</w:t>
      </w:r>
    </w:p>
    <w:p w14:paraId="5818B330" w14:textId="77777777" w:rsidR="004D23C7" w:rsidRPr="004B7FCC" w:rsidRDefault="004D23C7" w:rsidP="004D23C7">
      <w:pPr>
        <w:pStyle w:val="H23G"/>
      </w:pPr>
      <w:r>
        <w:tab/>
        <w:t>2.</w:t>
      </w:r>
      <w:r>
        <w:tab/>
        <w:t>Controle</w:t>
      </w:r>
    </w:p>
    <w:p w14:paraId="469F1D37"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zijn verplicht om schendingen van het Verdrag en de bijbehorende Facultatieve Protocollen te controleren die veroorzaakt zijn of waartoe is bijgedragen door zakelijke ondernemingen, waaronder hun mondiale werkzaamheden. Dit kan worden bereikt door bijvoorbeeld data te verzamelen die kunnen worden gebruikt om problemen te identificeren en beleid te ontwikkelen; misbruik te onderzoeken; samen te werken met de burgermaatschappij en nationale mensenrechtenorganisaties; en het bedrijfsleven publiekelijk verantwoordelijk te maken door zakelijke rapportages te gebruiken over de impact op de kinderrechten om prestaties te onderzoeken. Met name nationale mensenrechtenorganisaties kunnen worden betrokken, bijvoorbeeld bij het ontvangen, onderzoeken en bemiddelen bij klachten over schendingen; onderzoek doen naar grootschalig misbruik; bemiddelen in conflictsituaties en wetgevende onderzoeken doen om de naleving van het Verdrag te waarborgen. Waar nodig kunnen Staten die partij zijn, de wetgevingsbevoegdheid van mensenrechtenorganisaties uitbreiden naar kinderrechten en het bedrijfsleven.</w:t>
      </w:r>
    </w:p>
    <w:p w14:paraId="6130AC95"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Wanneer Staten die partij zijn, nationale strategieën ontwikkelen en actieplannen voor de implementatie van het Verdrag en de bijbehorende Facultatieve Protocollen, moeten ze expliciete referenties opnemen naar de maatregelen die nodig zijn om de rechten van het kind te eerbiedigen, beschermen en verwezenlijken in de activiteiten en werkzaamheden van zakelijke ondernemingen. Staten die partij zijn, moeten er ook voor zorgen dat ze de voortgang van de implementatie van het Verdrag in de activiteiten en werkzaamheden van het bedrijfsleven controleren. Dit kan zowel intern gebeuren door de inzet van beoordelingen van de gevolgen voor kinderrechten als extern via samenwerking met andere organen zoals parlementaire commissies, maatschappelijke organisaties, professionele organisaties en nationale mensenrechtenorganisaties. Bij de controle moet kinderen rechtstreeks worden gevraagd naar hun mening over de impact van het bedrijfsleven op hun rechten. Er kunnen verschillende mechanismen voor raadpleging worden ingezet, bijvoorbeeld jeugdraden en jeugdparlementen, social media, schoolraden en jeugdverenigingen. </w:t>
      </w:r>
    </w:p>
    <w:p w14:paraId="2359B5A9" w14:textId="77777777" w:rsidR="004D23C7" w:rsidRPr="004B7FCC" w:rsidRDefault="004D23C7" w:rsidP="004D23C7">
      <w:pPr>
        <w:pStyle w:val="H23G"/>
        <w:rPr>
          <w:rFonts w:eastAsia="Calibri"/>
        </w:rPr>
      </w:pPr>
      <w:r>
        <w:tab/>
        <w:t>3.</w:t>
      </w:r>
      <w:r>
        <w:tab/>
        <w:t>Beoordeling impact op kinderrechten</w:t>
      </w:r>
    </w:p>
    <w:p w14:paraId="439ACC97"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Om te verzekeren dat het belang van het kind de eerste overweging is in wetgeving met betrekking tot het bedrijfsleven, in beleidsontwikkeling en in uitvoering op alle overheidsniveaus moet de impact op de kinderrechten voortdurend worden beoordeeld. Deze kunnen de impact voorspellen van elk bedrijfsgerelateerd voorstel voor beleid, wet- en regelgeving, budget of andere beleidsbeslissingen die kinderen en het genot van hun rechten aangaan</w:t>
      </w:r>
      <w:r w:rsidR="00931A1F">
        <w:rPr>
          <w:rStyle w:val="FootnoteReference"/>
          <w:lang w:eastAsia="en-GB"/>
        </w:rPr>
        <w:footnoteReference w:id="30"/>
      </w:r>
      <w:r>
        <w:rPr>
          <w:rStyle w:val="SingleTxtGCar"/>
        </w:rPr>
        <w:t xml:space="preserve"> en moeten de voortdurende controle en evaluatie van de impact van wetten, beleid en programma's over kinderrechten aanvullen. </w:t>
      </w:r>
    </w:p>
    <w:p w14:paraId="24A79F8A"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kan nodig zijn om verschillende methoden en werkwijzen te ontwikkelen bij de uitvoering van de beoordelingen met betrekking tot de impact op de kinderrechten. Deze moeten minimaal gebruikmaken van het kader van het Verdrag en de bijbehorende Facultatieve Protocollen en relevante concluderende opmerkingen en General Comments van het Comité. Wanneer Staten die partij zijn, een bredere beoordeling uitvoeren van de impact van bedrijfsgerelateerd(e) beleid, wetgeving of administratieve procedures op de kinderrechten, moeten ze ervoor zorgen dat deze beoordelingen onderbouwd zijn door de algemene beginselen van het Verdrag en de bijbehorende Facultatieve Protocollen en bijzondere aandacht besteden aan de gedifferentieerde impact op kinderen van de maatregelen die worden overwogen.</w:t>
      </w:r>
      <w:r w:rsidR="00931A1F">
        <w:rPr>
          <w:rStyle w:val="FootnoteReference"/>
          <w:lang w:eastAsia="en-GB"/>
        </w:rPr>
        <w:footnoteReference w:id="31"/>
      </w:r>
      <w:r>
        <w:rPr>
          <w:rStyle w:val="SingleTxtGCar"/>
        </w:rPr>
        <w:t xml:space="preserve"> </w:t>
      </w:r>
    </w:p>
    <w:p w14:paraId="4DA02D13"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Beoordelingen van de gevolgen voor kinderrechten kunnen worden gebruikt om de impact te overwegen op alle kinderen die benadeeld zijn door de activiteiten van een bepaald bedrijf of een bepaalde sector, maar kunnen ook een onderzoek bevatten van de verschillende gevolgen die maatregelen op bepaalde categorieën kinderen hebben. Het onderzoek naar de impact zelf kan worden gebaseerd op input van kinderen, de burgermaatschappij en relevante departementen, wetenschappelijk onderzoek en ervaringen gedocumenteerd in het land of elders De analyse moet leiden tot aanbevelingen voor amendementen, alternatieven en verbeteringen en moet openbaar toegankelijk zijn.</w:t>
      </w:r>
      <w:r w:rsidR="00931A1F">
        <w:rPr>
          <w:rStyle w:val="FootnoteReference"/>
          <w:lang w:eastAsia="en-GB"/>
        </w:rPr>
        <w:footnoteReference w:id="32"/>
      </w:r>
      <w:r>
        <w:rPr>
          <w:rStyle w:val="SingleTxtGCar"/>
        </w:rPr>
        <w:t xml:space="preserve"> </w:t>
      </w:r>
    </w:p>
    <w:p w14:paraId="14EE17BC"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Om een onpartijdig en onafhankelijk proces te verzekeren, moet de Staat overwegen om een externe actor te vragen het onderzoeksproces te leiden. Dit kan grote voordelen hebben, maar de Staat moet als eindverantwoordelijke voor het resultaat ervoor zorgen dat de actor die het onderzoek uitvoert competent, eerlijk en onpartijdig is. </w:t>
      </w:r>
    </w:p>
    <w:p w14:paraId="0D113502" w14:textId="77777777" w:rsidR="004D23C7" w:rsidRPr="004B7FCC" w:rsidRDefault="004D23C7" w:rsidP="004D23C7">
      <w:pPr>
        <w:pStyle w:val="H1G"/>
        <w:rPr>
          <w:rFonts w:eastAsia="Calibri"/>
        </w:rPr>
      </w:pPr>
      <w:r>
        <w:tab/>
        <w:t>E.</w:t>
      </w:r>
      <w:r>
        <w:tab/>
        <w:t xml:space="preserve">Maatregelen met betrekking tot samenwerking en bewustmaking </w:t>
      </w:r>
    </w:p>
    <w:p w14:paraId="682B398F"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Staat gaat de verplichtingen aan krachtens het Verdrag, maar voor de implementatie moeten alle sectoren in de samenleving samenwerken, waaronder het bedrijfsleven, de burgermaatschappij en de kinderen zelf. Het Comité adviseert dat Staten een uitgebreide strategie implementeren om alle kinderen, ouders en verzorgers te informeren en te onderwijzen dat het bedrijfsleven verantwoordelijk is om de rechten van het kind te eerbiedigen, ongeacht waar ze actief zijn. De informatie moet ook kindvriendelijk en passend voor de leeftijd worden gecommuniceerd, bijvoorbeeld door het aanbieden van onderwijs over financiële bewustmaking. Onderwijs, training en bewustmaking over het Verdrag moeten ook worden gericht op zakelijke ondernemingen, om de status van het kind als houder van mensenrechten te benadrukken, actief respect voor alle bepalingen van het Verdrag aan te moedigen en discriminerende houdingen ten opzichte van kinderen te bestrijden en uit te bannen, met name wanneer het kinderen in kwetsbare en achtergestelde situaties betreft. In dit kader moeten de media worden aangemoedigd om kinderen te voorzien van informatie over hun rechten met betrekking tot het bedrijfsleven en bewustzijn te creëren bij ondernemingen over hun verantwoording om de rechten van het kind te eerbiedigen.</w:t>
      </w:r>
    </w:p>
    <w:p w14:paraId="5D4C06C1"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 xml:space="preserve">Het Comité benadrukt dat nationale mensenrechtenorganisaties kunnen worden betrokken om de bewustwording van de bepalingen van het Verdrag bij zakelijke ondernemingen te vergroten, zoals het ontwikkelen van richtlijnen voor goede praktijken en beleid voor ondernemingen, en voor het verspreiden ervan. </w:t>
      </w:r>
    </w:p>
    <w:p w14:paraId="48ABF1DB"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De burgermaatschappij heeft een belangrijke rol bij de onafhankelijke bevordering en bescherming van de kinderrechten in de context van zakelijke bedrijfsvoering. Hiertoe behoort het controleren en verantwoordelijk stellen van ondernemingen; kinderen ondersteunen bij het krijgen van toegang tot het recht en rechtsmiddelen; bijdragen aan de beoordelingen van het effect op de kinderrechten; en het vergroten van de bewustwording van hun verantwoordelijkheid om de rechten van het kind te eerbiedigen. Staten die partij zijn, moeten de voorwaarden voor een actieve en waakzame burgermaatschappij verzekeren, waaronder doeltreffende samenwerking met en ondersteuning van onafhankelijke burgermaatschappelijke organisaties, organisaties geleid door kinderen en jongeren, de academische wereld, kamers van koophandel en industrie, vakbonden, consumentenorganisaties en beroepsinstellingen. Staten die partij zijn, moeten zich onthouden van bemoeienis met deze en andere onafhankelijke organisaties en hun betrokkenheid vergemakkelijken in openbaar beleid en programma's met betrekking tot kinderrechten en het bedrijfsleven.</w:t>
      </w:r>
    </w:p>
    <w:p w14:paraId="076A2CF0" w14:textId="77777777" w:rsidR="004D23C7" w:rsidRPr="004B7FCC" w:rsidRDefault="004D23C7" w:rsidP="004D23C7">
      <w:pPr>
        <w:pStyle w:val="HChG"/>
        <w:rPr>
          <w:rFonts w:eastAsia="Calibri"/>
        </w:rPr>
      </w:pPr>
      <w:r>
        <w:tab/>
        <w:t>VII.</w:t>
      </w:r>
      <w:r>
        <w:tab/>
        <w:t>Verspreiding</w:t>
      </w:r>
    </w:p>
    <w:p w14:paraId="0F4AA684" w14:textId="77777777" w:rsidR="004D23C7" w:rsidRPr="00067BAD"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Het Comité adviseert dat Staten dit General Comment breed te verspreiden bij de regering, het parlement en de overheid, waaronder de ministeries, departementen en gemeentelijke/lokale overheidsorganen die werken aan zakelijke onderwerpen en die verantwoordelijk zijn voor handel en investeringen in het buitenland zoals organisaties voor ontwikkelingshulp en handelsmissies. Dit General Comment moet worden verspreid onder zakelijke ondernemingen, zowel onder bedrijven die internationaal opereren als onder kleine en middelgrote bedrijven en actoren in de informele sector. Het moet ook worden verspreid onder en bekend worden gemaakt aan mensen die beroepsmatig voor en met kinderen werken, waaronder rechters, advocaten en organisaties voor rechtsbijstand, onderwijzers, voogden, maatschappelijk werkers, medewerkers van openbare en particuliere welzijnsinstellingen, alle kinderen en de burgermaatschappij. Het document moet daarom in alle relevante talen worden vertaald en in kindvriendelijke versies beschikbaar worden gemaakt. Er moeten workshops en seminars worden georganiseerd waarin de gevolgen en de beste manier om de aanbevelingen uit te voeren worden besproken. Dit document moet ook worden opgenomen in de opleiding van mensen die beroepsmatig voor en met kinderen werken.</w:t>
      </w:r>
    </w:p>
    <w:p w14:paraId="3DE2D9B0" w14:textId="77777777" w:rsidR="004D23C7" w:rsidRDefault="004D23C7" w:rsidP="003F4FEF">
      <w:pPr>
        <w:numPr>
          <w:ilvl w:val="0"/>
          <w:numId w:val="3"/>
        </w:numPr>
        <w:suppressAutoHyphens w:val="0"/>
        <w:autoSpaceDE w:val="0"/>
        <w:autoSpaceDN w:val="0"/>
        <w:adjustRightInd w:val="0"/>
        <w:spacing w:after="120"/>
        <w:ind w:left="1134" w:right="1134" w:firstLine="0"/>
        <w:jc w:val="both"/>
        <w:rPr>
          <w:rStyle w:val="SingleTxtGCar"/>
        </w:rPr>
      </w:pPr>
      <w:r>
        <w:rPr>
          <w:rStyle w:val="SingleTxtGCar"/>
        </w:rPr>
        <w:t>Staten die partij zijn, moeten informatie in hun periodieke rapporten aan het Comité opnemen over de uitdagingen die ze hebben en de maatregelen die ze moeten nemen om de rechten van het kind te eerbiedigen, te beschermen en te verwezenlijken in het kader van de activiteiten en bedrijfsvoering van zakelijke ondernemingen in het thuisland en indien van toepassing internationaal.</w:t>
      </w:r>
    </w:p>
    <w:p w14:paraId="42C61692" w14:textId="77777777" w:rsidR="004D23C7" w:rsidRPr="00362D4C" w:rsidRDefault="004D23C7" w:rsidP="004D23C7">
      <w:pPr>
        <w:autoSpaceDE w:val="0"/>
        <w:autoSpaceDN w:val="0"/>
        <w:adjustRightInd w:val="0"/>
        <w:spacing w:before="240"/>
        <w:ind w:left="1134" w:right="1134"/>
        <w:jc w:val="center"/>
        <w:rPr>
          <w:rStyle w:val="SingleTxtGCar"/>
          <w:u w:val="single"/>
        </w:rPr>
      </w:pPr>
      <w:r>
        <w:rPr>
          <w:rStyle w:val="SingleTxtGCar"/>
          <w:u w:val="single"/>
        </w:rPr>
        <w:tab/>
      </w:r>
      <w:r>
        <w:rPr>
          <w:rStyle w:val="SingleTxtGCar"/>
          <w:u w:val="single"/>
        </w:rPr>
        <w:tab/>
      </w:r>
      <w:r>
        <w:rPr>
          <w:rStyle w:val="SingleTxtGCar"/>
          <w:u w:val="single"/>
        </w:rPr>
        <w:tab/>
      </w:r>
    </w:p>
    <w:sectPr w:rsidR="004D23C7" w:rsidRPr="00362D4C" w:rsidSect="004D23C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1390" w14:textId="77777777" w:rsidR="00667F1C" w:rsidRDefault="00667F1C"/>
  </w:endnote>
  <w:endnote w:type="continuationSeparator" w:id="0">
    <w:p w14:paraId="0F01A092" w14:textId="77777777" w:rsidR="00667F1C" w:rsidRDefault="00667F1C"/>
  </w:endnote>
  <w:endnote w:type="continuationNotice" w:id="1">
    <w:p w14:paraId="7442BB4B" w14:textId="77777777" w:rsidR="00667F1C" w:rsidRDefault="00667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ijksoverheidSerif">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B838" w14:textId="77777777" w:rsidR="000052EA" w:rsidRPr="004B7FCC" w:rsidRDefault="000052EA" w:rsidP="00350E43">
    <w:pPr>
      <w:pStyle w:val="Footer"/>
      <w:tabs>
        <w:tab w:val="right" w:pos="9638"/>
      </w:tabs>
      <w:jc w:val="both"/>
      <w:rPr>
        <w:b/>
        <w:sz w:val="18"/>
      </w:rPr>
    </w:pPr>
    <w:r w:rsidRPr="004B7FCC">
      <w:rPr>
        <w:b/>
        <w:sz w:val="18"/>
      </w:rPr>
      <w:fldChar w:fldCharType="begin"/>
    </w:r>
    <w:r w:rsidRPr="004B7FCC">
      <w:rPr>
        <w:b/>
        <w:sz w:val="18"/>
      </w:rPr>
      <w:instrText xml:space="preserve"> </w:instrText>
    </w:r>
    <w:r>
      <w:rPr>
        <w:b/>
        <w:sz w:val="18"/>
      </w:rPr>
      <w:instrText>PAGE</w:instrText>
    </w:r>
    <w:r w:rsidRPr="004B7FCC">
      <w:rPr>
        <w:b/>
        <w:sz w:val="18"/>
      </w:rPr>
      <w:instrText xml:space="preserve">  \* MERGEFORMAT </w:instrText>
    </w:r>
    <w:r w:rsidRPr="004B7FCC">
      <w:rPr>
        <w:b/>
        <w:sz w:val="18"/>
      </w:rPr>
      <w:fldChar w:fldCharType="separate"/>
    </w:r>
    <w:r w:rsidR="00E60FA7">
      <w:rPr>
        <w:b/>
        <w:sz w:val="18"/>
      </w:rPr>
      <w:t>2</w:t>
    </w:r>
    <w:r w:rsidRPr="004B7FCC">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F9D7" w14:textId="77777777" w:rsidR="000052EA" w:rsidRPr="004B7FCC" w:rsidRDefault="000052EA" w:rsidP="004D23C7">
    <w:pPr>
      <w:pStyle w:val="Footer"/>
      <w:tabs>
        <w:tab w:val="right" w:pos="9638"/>
      </w:tabs>
    </w:pPr>
    <w:r>
      <w:rPr>
        <w:b/>
        <w:sz w:val="18"/>
      </w:rPr>
      <w:tab/>
    </w:r>
    <w:r w:rsidRPr="004B7FCC">
      <w:rPr>
        <w:b/>
        <w:sz w:val="18"/>
      </w:rPr>
      <w:fldChar w:fldCharType="begin"/>
    </w:r>
    <w:r w:rsidRPr="004B7FCC">
      <w:rPr>
        <w:b/>
        <w:sz w:val="18"/>
      </w:rPr>
      <w:instrText xml:space="preserve"> </w:instrText>
    </w:r>
    <w:r>
      <w:rPr>
        <w:b/>
        <w:sz w:val="18"/>
      </w:rPr>
      <w:instrText>PAGE</w:instrText>
    </w:r>
    <w:r w:rsidRPr="004B7FCC">
      <w:rPr>
        <w:b/>
        <w:sz w:val="18"/>
      </w:rPr>
      <w:instrText xml:space="preserve">  \* MERGEFORMAT </w:instrText>
    </w:r>
    <w:r w:rsidRPr="004B7FCC">
      <w:rPr>
        <w:b/>
        <w:sz w:val="18"/>
      </w:rPr>
      <w:fldChar w:fldCharType="separate"/>
    </w:r>
    <w:r w:rsidR="00E60FA7">
      <w:rPr>
        <w:b/>
        <w:sz w:val="18"/>
      </w:rPr>
      <w:t>21</w:t>
    </w:r>
    <w:r w:rsidRPr="004B7FCC">
      <w:rPr>
        <w:b/>
        <w:sz w:val="18"/>
      </w:rPr>
      <w:fldChar w:fldCharType="end"/>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2710" w14:textId="77777777" w:rsidR="000052EA" w:rsidRPr="00C01E72" w:rsidRDefault="00B91C21">
    <w:r>
      <w:rPr>
        <w:noProof/>
      </w:rPr>
      <w:drawing>
        <wp:anchor distT="0" distB="0" distL="114300" distR="114300" simplePos="0" relativeHeight="251657728" behindDoc="0" locked="1" layoutInCell="1" allowOverlap="1" wp14:anchorId="3BE04898" wp14:editId="264DBFC5">
          <wp:simplePos x="0" y="0"/>
          <wp:positionH relativeFrom="column">
            <wp:posOffset>5148580</wp:posOffset>
          </wp:positionH>
          <wp:positionV relativeFrom="paragraph">
            <wp:posOffset>-79375</wp:posOffset>
          </wp:positionV>
          <wp:extent cx="930275" cy="230505"/>
          <wp:effectExtent l="0" t="0" r="0" b="0"/>
          <wp:wrapNone/>
          <wp:docPr id="3" name="Afbeelding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GE.13-42821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8F6C" w14:textId="77777777" w:rsidR="00667F1C" w:rsidRPr="000B175B" w:rsidRDefault="00667F1C" w:rsidP="004D23C7">
      <w:pPr>
        <w:tabs>
          <w:tab w:val="right" w:pos="2155"/>
        </w:tabs>
        <w:spacing w:after="80"/>
        <w:ind w:left="680"/>
        <w:rPr>
          <w:u w:val="single"/>
        </w:rPr>
      </w:pPr>
      <w:r>
        <w:rPr>
          <w:u w:val="single"/>
        </w:rPr>
        <w:tab/>
      </w:r>
    </w:p>
  </w:footnote>
  <w:footnote w:type="continuationSeparator" w:id="0">
    <w:p w14:paraId="08203780" w14:textId="77777777" w:rsidR="00667F1C" w:rsidRPr="00FC68B7" w:rsidRDefault="00667F1C" w:rsidP="004D23C7">
      <w:pPr>
        <w:tabs>
          <w:tab w:val="left" w:pos="2155"/>
        </w:tabs>
        <w:spacing w:after="80"/>
        <w:ind w:left="680"/>
        <w:rPr>
          <w:u w:val="single"/>
        </w:rPr>
      </w:pPr>
      <w:r>
        <w:rPr>
          <w:u w:val="single"/>
        </w:rPr>
        <w:tab/>
      </w:r>
    </w:p>
  </w:footnote>
  <w:footnote w:type="continuationNotice" w:id="1">
    <w:p w14:paraId="6394BA2E" w14:textId="77777777" w:rsidR="00667F1C" w:rsidRDefault="00667F1C"/>
  </w:footnote>
  <w:footnote w:id="2">
    <w:p w14:paraId="0FC2A629" w14:textId="77777777" w:rsidR="00E841E7" w:rsidRPr="007917F4" w:rsidRDefault="00E841E7">
      <w:pPr>
        <w:pStyle w:val="FootnoteText"/>
      </w:pPr>
      <w:r>
        <w:rPr>
          <w:rStyle w:val="FootnoteReference"/>
        </w:rPr>
        <w:tab/>
      </w:r>
      <w:r>
        <w:rPr>
          <w:rStyle w:val="FootnoteReference"/>
          <w:sz w:val="20"/>
          <w:vertAlign w:val="baseline"/>
        </w:rPr>
        <w:t>*</w:t>
      </w:r>
      <w:r>
        <w:rPr>
          <w:rStyle w:val="FootnoteReference"/>
          <w:sz w:val="20"/>
          <w:vertAlign w:val="baseline"/>
        </w:rPr>
        <w:tab/>
      </w:r>
      <w:r>
        <w:t>Aangenomen door het Comité op de 62e zitting (14 januari – 1 februari 2013).</w:t>
      </w:r>
    </w:p>
  </w:footnote>
  <w:footnote w:id="3">
    <w:p w14:paraId="396D3236"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Comité voor de Rechten van het Kind, verslag van de 31e zitting, CRC/C/121, bijlage II.</w:t>
      </w:r>
    </w:p>
  </w:footnote>
  <w:footnote w:id="4">
    <w:p w14:paraId="2D2C07C0"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Zie Comité voor de rechten van het kind, General Comment nr. 13 (2011) over het recht op bescherming tegen alle vormen van geweld,</w:t>
      </w:r>
      <w:r>
        <w:rPr>
          <w:i/>
          <w:iCs/>
        </w:rPr>
        <w:t xml:space="preserve"> Official Records van de Algemene Vergadering, 67e zitting, Supplement nr. 41 </w:t>
      </w:r>
      <w:r>
        <w:t>(A/67/41), bijlage V, lid. 59.</w:t>
      </w:r>
    </w:p>
  </w:footnote>
  <w:footnote w:id="5">
    <w:p w14:paraId="0D322B31"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Zie General Comment nr. 14 (2013) over het belang van het kind: artikel 3, lid 1, van het Verdrag inzake de rechten van het kind (verwacht),</w:t>
      </w:r>
      <w:r>
        <w:rPr>
          <w:i/>
        </w:rPr>
        <w:t xml:space="preserve"> </w:t>
      </w:r>
      <w:r>
        <w:t>lid. 6.</w:t>
      </w:r>
    </w:p>
  </w:footnote>
  <w:footnote w:id="6">
    <w:p w14:paraId="58AFB37E"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 xml:space="preserve">Zie </w:t>
      </w:r>
      <w:r>
        <w:rPr>
          <w:i/>
        </w:rPr>
        <w:t>Official Records van de Algemene Vergadering, 59e zitting, Supplement nr. 41</w:t>
      </w:r>
      <w:r>
        <w:rPr>
          <w:bCs/>
          <w:i/>
          <w:iCs/>
        </w:rPr>
        <w:t xml:space="preserve"> </w:t>
      </w:r>
      <w:r>
        <w:t xml:space="preserve">(A/59/41), bijlage XI, lid. 12. </w:t>
      </w:r>
    </w:p>
  </w:footnote>
  <w:footnote w:id="7">
    <w:p w14:paraId="6785C78E"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 xml:space="preserve">General Comment nr. 11 (2009) over inheemse kinderen en hun rechten krachtens het Verdrag, </w:t>
      </w:r>
      <w:r>
        <w:rPr>
          <w:i/>
        </w:rPr>
        <w:t xml:space="preserve">Official Records van de Algemene Vergadering, 65e zitting, Supplement nr. 41 </w:t>
      </w:r>
      <w:r>
        <w:t>(A/65/41), bijlage III, lid. 35.</w:t>
      </w:r>
    </w:p>
  </w:footnote>
  <w:footnote w:id="8">
    <w:p w14:paraId="12458A2D"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 xml:space="preserve">Zie General Comment nr. 15 (2013) over het recht op het realiseren van de hoogst mogelijke mate van gezondheid (verwacht), lid. 47. </w:t>
      </w:r>
    </w:p>
  </w:footnote>
  <w:footnote w:id="9">
    <w:p w14:paraId="10D28FEE"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Zie passim General Comment nr. 7 (2005) over kinderrechten in de vroege kinderjaren, </w:t>
      </w:r>
      <w:r>
        <w:rPr>
          <w:i/>
        </w:rPr>
        <w:t>Official Records van de Algemene Vergadering, 61e zitting</w:t>
      </w:r>
      <w:r>
        <w:t xml:space="preserve">, </w:t>
      </w:r>
      <w:r>
        <w:rPr>
          <w:i/>
        </w:rPr>
        <w:t xml:space="preserve">Supplement nr. 41 </w:t>
      </w:r>
      <w:r>
        <w:t xml:space="preserve">(A/61/41), bijlage III. </w:t>
      </w:r>
    </w:p>
  </w:footnote>
  <w:footnote w:id="10">
    <w:p w14:paraId="78E85E0C" w14:textId="77777777" w:rsidR="000052EA" w:rsidRPr="000A6C0E" w:rsidRDefault="000052EA" w:rsidP="006D0AF8">
      <w:pPr>
        <w:pStyle w:val="FootnoteText"/>
        <w:widowControl w:val="0"/>
        <w:tabs>
          <w:tab w:val="clear" w:pos="1021"/>
          <w:tab w:val="right" w:pos="1020"/>
        </w:tabs>
      </w:pPr>
      <w:r>
        <w:tab/>
      </w:r>
      <w:r>
        <w:rPr>
          <w:rStyle w:val="FootnoteReference"/>
        </w:rPr>
        <w:footnoteRef/>
      </w:r>
      <w:r>
        <w:tab/>
        <w:t xml:space="preserve">General Comment nr. 12 (2009) over het recht van het kind gehoord te worden, </w:t>
      </w:r>
      <w:r>
        <w:rPr>
          <w:i/>
          <w:iCs/>
        </w:rPr>
        <w:t xml:space="preserve">Official Records van de Algemene Vergadering, 65e zitting, Supplement nr. 41 </w:t>
      </w:r>
      <w:r>
        <w:t xml:space="preserve">(A/65/41), bijlage IV. </w:t>
      </w:r>
    </w:p>
  </w:footnote>
  <w:footnote w:id="11">
    <w:p w14:paraId="056CE23B"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 xml:space="preserve">General Comment nr. 9 (2006) over het recht van het kind met een handicap, </w:t>
      </w:r>
      <w:r>
        <w:rPr>
          <w:i/>
        </w:rPr>
        <w:t>Official Records van de Algemene Vergadering, 63e zitting, Supplement nr. 41</w:t>
      </w:r>
      <w:r>
        <w:t xml:space="preserve"> (A/63/41), bijlage III, passim.</w:t>
      </w:r>
    </w:p>
  </w:footnote>
  <w:footnote w:id="12">
    <w:p w14:paraId="3D2FAC41" w14:textId="77777777" w:rsidR="000052EA" w:rsidRPr="000A6C0E" w:rsidRDefault="000052EA" w:rsidP="006D0AF8">
      <w:pPr>
        <w:pStyle w:val="FootnoteText"/>
        <w:widowControl w:val="0"/>
        <w:tabs>
          <w:tab w:val="clear" w:pos="1021"/>
          <w:tab w:val="right" w:pos="1020"/>
        </w:tabs>
      </w:pPr>
      <w:r>
        <w:tab/>
      </w:r>
      <w:r>
        <w:rPr>
          <w:rStyle w:val="FootnoteReference"/>
        </w:rPr>
        <w:footnoteRef/>
      </w:r>
      <w:r>
        <w:tab/>
        <w:t xml:space="preserve">Zie Comité voor economische, sociale en culturele rechten, General Comment nr. 13 (1999) over het recht op onderwijs, </w:t>
      </w:r>
      <w:r>
        <w:rPr>
          <w:i/>
        </w:rPr>
        <w:t>Official Records of the Economic and</w:t>
      </w:r>
      <w:bookmarkStart w:id="5" w:name="_GoBack"/>
      <w:bookmarkEnd w:id="5"/>
      <w:r>
        <w:rPr>
          <w:i/>
        </w:rPr>
        <w:t xml:space="preserve"> Social Council</w:t>
      </w:r>
      <w:r>
        <w:t xml:space="preserve">, </w:t>
      </w:r>
      <w:r>
        <w:rPr>
          <w:i/>
        </w:rPr>
        <w:t xml:space="preserve">2000, Supplement nr. 2 </w:t>
      </w:r>
      <w:r>
        <w:t xml:space="preserve">(E/2000/22), bijlage VI, lid. 46. </w:t>
      </w:r>
    </w:p>
    <w:p w14:paraId="68F003A4" w14:textId="77777777" w:rsidR="000052EA" w:rsidRPr="003D5DE0" w:rsidRDefault="000052EA" w:rsidP="006D0AF8">
      <w:pPr>
        <w:pStyle w:val="FootnoteText"/>
        <w:widowControl w:val="0"/>
        <w:tabs>
          <w:tab w:val="clear" w:pos="1021"/>
          <w:tab w:val="right" w:pos="1020"/>
        </w:tabs>
      </w:pPr>
    </w:p>
  </w:footnote>
  <w:footnote w:id="13">
    <w:p w14:paraId="5AC89619"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 xml:space="preserve">General Comment nr. 5 (2003), lid. 24. De Staten die partij zijn, moeten ook rekening houden met Resolutie 60/147 van de Algemene Vergadering over grondbeginselen en richtsnoeren betreffende het recht op beroep en schadevergoeding van de slachtoffers van grove schendingen van het internationaal recht inzake de rechten van de mens en van ernstige schendingen van het internationaal humanitair recht, aangenomen op 16 december 2005. </w:t>
      </w:r>
    </w:p>
  </w:footnote>
  <w:footnote w:id="14">
    <w:p w14:paraId="5C333005"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 xml:space="preserve">Zie bijvoorbeeld het Verdrag inzake de rechten van het kind, art. 32, lid. 2; 19; en 39. </w:t>
      </w:r>
    </w:p>
  </w:footnote>
  <w:footnote w:id="15">
    <w:p w14:paraId="32C62215" w14:textId="77777777" w:rsidR="000052EA" w:rsidRPr="001171BB" w:rsidRDefault="000052EA" w:rsidP="006D0AF8">
      <w:pPr>
        <w:pStyle w:val="FootnoteText"/>
        <w:widowControl w:val="0"/>
        <w:tabs>
          <w:tab w:val="clear" w:pos="1021"/>
          <w:tab w:val="right" w:pos="1020"/>
        </w:tabs>
      </w:pPr>
      <w:r>
        <w:tab/>
      </w:r>
      <w:r>
        <w:rPr>
          <w:rStyle w:val="FootnoteReference"/>
        </w:rPr>
        <w:footnoteRef/>
      </w:r>
      <w:r>
        <w:tab/>
        <w:t>Zie Comité voor de Rechten van het Kind, verslag van de 31e zitting, CRC/C/121, bijlage II.</w:t>
      </w:r>
    </w:p>
  </w:footnote>
  <w:footnote w:id="16">
    <w:p w14:paraId="7616598A" w14:textId="77777777" w:rsidR="000052EA" w:rsidRPr="001171BB" w:rsidRDefault="000052EA" w:rsidP="00DB7F04">
      <w:pPr>
        <w:pStyle w:val="FootnoteText"/>
        <w:widowControl w:val="0"/>
        <w:tabs>
          <w:tab w:val="clear" w:pos="1021"/>
          <w:tab w:val="right" w:pos="1020"/>
        </w:tabs>
      </w:pPr>
      <w:r>
        <w:tab/>
      </w:r>
      <w:r>
        <w:rPr>
          <w:rStyle w:val="FootnoteReference"/>
        </w:rPr>
        <w:footnoteRef/>
      </w:r>
      <w:r>
        <w:tab/>
        <w:t xml:space="preserve">Zie General Comment nr. 5, lid. 44. </w:t>
      </w:r>
    </w:p>
  </w:footnote>
  <w:footnote w:id="17">
    <w:p w14:paraId="52760223" w14:textId="77777777" w:rsidR="000052EA" w:rsidRPr="001171BB" w:rsidRDefault="000052EA" w:rsidP="002E0E47">
      <w:pPr>
        <w:pStyle w:val="FootnoteText"/>
        <w:widowControl w:val="0"/>
        <w:tabs>
          <w:tab w:val="clear" w:pos="1021"/>
          <w:tab w:val="right" w:pos="1020"/>
        </w:tabs>
      </w:pPr>
      <w:r>
        <w:tab/>
      </w:r>
      <w:r>
        <w:rPr>
          <w:rStyle w:val="FootnoteReference"/>
        </w:rPr>
        <w:footnoteRef/>
      </w:r>
      <w:r>
        <w:tab/>
        <w:t>General Comment nr. 6 (2005) over de omgang met alleenstaande kinderen die niet in hun eigen land verblijven, </w:t>
      </w:r>
      <w:r>
        <w:rPr>
          <w:i/>
        </w:rPr>
        <w:t xml:space="preserve">Official Records van de Algemene Vergadering, 61e zitting, Supplement nr. 41 </w:t>
      </w:r>
      <w:r>
        <w:t xml:space="preserve">(A/61/41), bijlage II, lid. 12. </w:t>
      </w:r>
    </w:p>
  </w:footnote>
  <w:footnote w:id="18">
    <w:p w14:paraId="143CCE10" w14:textId="77777777" w:rsidR="000052EA" w:rsidRPr="001171BB" w:rsidRDefault="000052EA" w:rsidP="002E0E47">
      <w:pPr>
        <w:pStyle w:val="FootnoteText"/>
        <w:widowControl w:val="0"/>
        <w:tabs>
          <w:tab w:val="clear" w:pos="1021"/>
          <w:tab w:val="right" w:pos="1020"/>
        </w:tabs>
      </w:pPr>
      <w:r>
        <w:tab/>
      </w:r>
      <w:r>
        <w:rPr>
          <w:rStyle w:val="FootnoteReference"/>
        </w:rPr>
        <w:footnoteRef/>
      </w:r>
      <w:r>
        <w:tab/>
        <w:t>Zie Verdrag inzake de rechten van het kind, art. 4; art. 24, lid. 4; art. 28, lid. 3; art. 17 en  art.22, lid. 2; en Facultatief Protocol over de verkoop van kinderen, kinderprostitutie en kinderpornografie, art. 10, en Facultatief Protocol over de betrokkenheid van kinderen bij gewapende conflicten, art. 10.</w:t>
      </w:r>
    </w:p>
  </w:footnote>
  <w:footnote w:id="19">
    <w:p w14:paraId="7BB9EB04" w14:textId="77777777" w:rsidR="000052EA" w:rsidRPr="003D5DE0" w:rsidRDefault="000052EA" w:rsidP="002E0E47">
      <w:pPr>
        <w:pStyle w:val="FootnoteText"/>
        <w:widowControl w:val="0"/>
        <w:tabs>
          <w:tab w:val="clear" w:pos="1021"/>
          <w:tab w:val="right" w:pos="1020"/>
        </w:tabs>
        <w:rPr>
          <w:lang w:val="en-GB"/>
        </w:rPr>
      </w:pPr>
      <w:r>
        <w:tab/>
      </w:r>
      <w:r>
        <w:rPr>
          <w:rStyle w:val="FootnoteReference"/>
        </w:rPr>
        <w:footnoteRef/>
      </w:r>
      <w:r w:rsidRPr="003D5DE0">
        <w:rPr>
          <w:lang w:val="en-GB"/>
        </w:rPr>
        <w:tab/>
      </w:r>
      <w:r w:rsidRPr="003D5DE0">
        <w:rPr>
          <w:lang w:val="en-GB"/>
        </w:rPr>
        <w:t>General Comment nr. 5, lid. 60.</w:t>
      </w:r>
    </w:p>
  </w:footnote>
  <w:footnote w:id="20">
    <w:p w14:paraId="2679E2EE" w14:textId="77777777" w:rsidR="000052EA" w:rsidRPr="003D5DE0" w:rsidRDefault="000052EA" w:rsidP="002E0E47">
      <w:pPr>
        <w:pStyle w:val="FootnoteText"/>
        <w:widowControl w:val="0"/>
        <w:tabs>
          <w:tab w:val="clear" w:pos="1021"/>
          <w:tab w:val="right" w:pos="1020"/>
        </w:tabs>
        <w:rPr>
          <w:lang w:val="en-GB"/>
        </w:rPr>
      </w:pPr>
      <w:r w:rsidRPr="003D5DE0">
        <w:rPr>
          <w:lang w:val="en-GB"/>
        </w:rPr>
        <w:tab/>
      </w:r>
      <w:r>
        <w:rPr>
          <w:rStyle w:val="FootnoteReference"/>
        </w:rPr>
        <w:footnoteRef/>
      </w:r>
      <w:r w:rsidRPr="003D5DE0">
        <w:rPr>
          <w:lang w:val="en-GB"/>
        </w:rPr>
        <w:tab/>
        <w:t>Zie Maastricht Principles on Extraterritorial Obligations of States in the area of Economic, Social and Cultural Rights, principle 25 (2012).</w:t>
      </w:r>
    </w:p>
  </w:footnote>
  <w:footnote w:id="21">
    <w:p w14:paraId="2D037C49" w14:textId="77777777" w:rsidR="000052EA" w:rsidRPr="001171BB" w:rsidRDefault="000052EA" w:rsidP="00BA3CC4">
      <w:pPr>
        <w:pStyle w:val="FootnoteText"/>
        <w:widowControl w:val="0"/>
        <w:tabs>
          <w:tab w:val="clear" w:pos="1021"/>
          <w:tab w:val="right" w:pos="1020"/>
        </w:tabs>
      </w:pPr>
      <w:r w:rsidRPr="003D5DE0">
        <w:rPr>
          <w:lang w:val="en-GB"/>
        </w:rPr>
        <w:tab/>
      </w:r>
      <w:r>
        <w:rPr>
          <w:rStyle w:val="FootnoteReference"/>
        </w:rPr>
        <w:footnoteRef/>
      </w:r>
      <w:r>
        <w:tab/>
        <w:t xml:space="preserve">Zoals het OESO-verdrag inzake bestrijding van omkoping van buitenlandse ambtenaren bij internationale zakelijke transacties en/of het Verdrag van de Verenigde Naties tegen corruptie. </w:t>
      </w:r>
    </w:p>
  </w:footnote>
  <w:footnote w:id="22">
    <w:p w14:paraId="79C3BC5B" w14:textId="77777777" w:rsidR="000052EA" w:rsidRPr="00C34E6F" w:rsidRDefault="000052EA" w:rsidP="00BA3CC4">
      <w:pPr>
        <w:pStyle w:val="FootnoteText"/>
        <w:widowControl w:val="0"/>
        <w:tabs>
          <w:tab w:val="clear" w:pos="1021"/>
          <w:tab w:val="right" w:pos="1020"/>
        </w:tabs>
        <w:rPr>
          <w:highlight w:val="yellow"/>
        </w:rPr>
      </w:pPr>
      <w:r>
        <w:tab/>
      </w:r>
      <w:r>
        <w:rPr>
          <w:rStyle w:val="FootnoteReference"/>
        </w:rPr>
        <w:footnoteRef/>
      </w:r>
      <w:r>
        <w:tab/>
        <w:t>Zie General Comment nr. 17 (2013) over het recht van het kind op rust, ontspanning, spel, recreatieve activiteiten, cultureel leven en kunst (art. 31) (verwacht).</w:t>
      </w:r>
    </w:p>
  </w:footnote>
  <w:footnote w:id="23">
    <w:p w14:paraId="651DE5F8" w14:textId="77777777" w:rsidR="000052EA" w:rsidRPr="00C34E6F" w:rsidRDefault="000052EA" w:rsidP="00BA3CC4">
      <w:pPr>
        <w:pStyle w:val="FootnoteText"/>
        <w:widowControl w:val="0"/>
        <w:tabs>
          <w:tab w:val="clear" w:pos="1021"/>
          <w:tab w:val="right" w:pos="1020"/>
        </w:tabs>
        <w:rPr>
          <w:highlight w:val="yellow"/>
        </w:rPr>
      </w:pPr>
      <w:r>
        <w:tab/>
      </w:r>
      <w:r>
        <w:rPr>
          <w:rStyle w:val="FootnoteReference"/>
        </w:rPr>
        <w:footnoteRef/>
      </w:r>
      <w:r>
        <w:tab/>
        <w:t xml:space="preserve">IAO-verdrag nr. 182 (1999) betreffende het verbod op en de onmiddellijke actie voor de uitbanning van de ergste vormen van kinderarbeid en IAO-verdrag nr. 138 (1973) betreffende de minimumleeftijd voor toelating tot het arbeidsproces. </w:t>
      </w:r>
    </w:p>
  </w:footnote>
  <w:footnote w:id="24">
    <w:p w14:paraId="470C3F1F" w14:textId="77777777" w:rsidR="000052EA" w:rsidRPr="003D5DE0" w:rsidRDefault="000052EA" w:rsidP="00BA3CC4">
      <w:pPr>
        <w:pStyle w:val="FootnoteText"/>
        <w:widowControl w:val="0"/>
        <w:tabs>
          <w:tab w:val="clear" w:pos="1021"/>
          <w:tab w:val="right" w:pos="1020"/>
        </w:tabs>
        <w:rPr>
          <w:lang w:val="en-GB"/>
        </w:rPr>
      </w:pPr>
      <w:r>
        <w:tab/>
      </w:r>
      <w:r>
        <w:rPr>
          <w:rStyle w:val="FootnoteReference"/>
        </w:rPr>
        <w:footnoteRef/>
      </w:r>
      <w:r w:rsidRPr="003D5DE0">
        <w:rPr>
          <w:lang w:val="en-GB"/>
        </w:rPr>
        <w:tab/>
      </w:r>
      <w:r w:rsidRPr="003D5DE0">
        <w:rPr>
          <w:lang w:val="en-GB"/>
        </w:rPr>
        <w:t xml:space="preserve">Human Rights Guidelines for Pharmaceutical Companies in relation to Access to Medicines; resolutie 15/22 van de Raad voor de Mensenrechten. </w:t>
      </w:r>
    </w:p>
  </w:footnote>
  <w:footnote w:id="25">
    <w:p w14:paraId="3BDE74E9" w14:textId="77777777" w:rsidR="000052EA" w:rsidRPr="003D5DE0" w:rsidRDefault="000052EA" w:rsidP="00BA3CC4">
      <w:pPr>
        <w:pStyle w:val="FootnoteText"/>
        <w:widowControl w:val="0"/>
        <w:tabs>
          <w:tab w:val="clear" w:pos="1021"/>
          <w:tab w:val="right" w:pos="1020"/>
        </w:tabs>
        <w:rPr>
          <w:lang w:val="en-GB"/>
        </w:rPr>
      </w:pPr>
      <w:r w:rsidRPr="003D5DE0">
        <w:rPr>
          <w:lang w:val="en-GB"/>
        </w:rPr>
        <w:tab/>
      </w:r>
      <w:r>
        <w:rPr>
          <w:rStyle w:val="FootnoteReference"/>
        </w:rPr>
        <w:footnoteRef/>
      </w:r>
      <w:r w:rsidRPr="003D5DE0">
        <w:rPr>
          <w:lang w:val="en-GB"/>
        </w:rPr>
        <w:tab/>
        <w:t>Zie General Comment nr. 15, lid. 82;</w:t>
      </w:r>
      <w:r w:rsidRPr="003D5DE0">
        <w:rPr>
          <w:i/>
          <w:lang w:val="en-GB"/>
        </w:rPr>
        <w:t xml:space="preserve"> </w:t>
      </w:r>
      <w:r w:rsidRPr="003D5DE0">
        <w:rPr>
          <w:lang w:val="en-GB"/>
        </w:rPr>
        <w:t xml:space="preserve">Wereldhandelsorganisatie, Declaration on the TRIPS Agreement and Public Health, WT/MIN(01)/DEC/2. </w:t>
      </w:r>
    </w:p>
  </w:footnote>
  <w:footnote w:id="26">
    <w:p w14:paraId="6037D0A8" w14:textId="77777777" w:rsidR="000052EA" w:rsidRPr="003D5DE0" w:rsidRDefault="000052EA" w:rsidP="00931A1F">
      <w:pPr>
        <w:pStyle w:val="FootnoteText"/>
        <w:widowControl w:val="0"/>
        <w:tabs>
          <w:tab w:val="clear" w:pos="1021"/>
          <w:tab w:val="right" w:pos="1020"/>
        </w:tabs>
        <w:rPr>
          <w:lang w:val="en-GB"/>
        </w:rPr>
      </w:pPr>
      <w:r w:rsidRPr="003D5DE0">
        <w:rPr>
          <w:lang w:val="en-GB"/>
        </w:rPr>
        <w:tab/>
      </w:r>
      <w:r>
        <w:rPr>
          <w:rStyle w:val="FootnoteReference"/>
        </w:rPr>
        <w:footnoteRef/>
      </w:r>
      <w:r w:rsidRPr="003D5DE0">
        <w:rPr>
          <w:lang w:val="en-GB"/>
        </w:rPr>
        <w:tab/>
        <w:t>Zie UNICEF, Save the Children and Global Compact, Children’s Rights and Business Principles (2011).</w:t>
      </w:r>
    </w:p>
  </w:footnote>
  <w:footnote w:id="27">
    <w:p w14:paraId="584C97D8" w14:textId="77777777" w:rsidR="000052EA" w:rsidRPr="001171BB" w:rsidRDefault="000052EA" w:rsidP="00931A1F">
      <w:pPr>
        <w:pStyle w:val="FootnoteText"/>
        <w:widowControl w:val="0"/>
        <w:tabs>
          <w:tab w:val="clear" w:pos="1021"/>
          <w:tab w:val="right" w:pos="1020"/>
        </w:tabs>
      </w:pPr>
      <w:r w:rsidRPr="003D5DE0">
        <w:rPr>
          <w:lang w:val="en-GB"/>
        </w:rPr>
        <w:tab/>
      </w:r>
      <w:r>
        <w:rPr>
          <w:rStyle w:val="FootnoteReference"/>
        </w:rPr>
        <w:footnoteRef/>
      </w:r>
      <w:r>
        <w:tab/>
        <w:t>Aangenomen door de Economische en Sociale Raad (ECOSOC) in resolutie 2005/20.</w:t>
      </w:r>
    </w:p>
  </w:footnote>
  <w:footnote w:id="28">
    <w:p w14:paraId="0D6A1901" w14:textId="77777777" w:rsidR="000052EA" w:rsidRPr="003D5DE0" w:rsidRDefault="000052EA" w:rsidP="00C34E6F">
      <w:pPr>
        <w:pStyle w:val="FootnoteText"/>
        <w:widowControl w:val="0"/>
        <w:tabs>
          <w:tab w:val="clear" w:pos="1021"/>
          <w:tab w:val="right" w:pos="1020"/>
        </w:tabs>
        <w:rPr>
          <w:lang w:val="en-GB"/>
        </w:rPr>
      </w:pPr>
      <w:r>
        <w:tab/>
      </w:r>
      <w:r>
        <w:rPr>
          <w:rStyle w:val="FootnoteReference"/>
        </w:rPr>
        <w:footnoteRef/>
      </w:r>
      <w:r w:rsidRPr="003D5DE0">
        <w:rPr>
          <w:lang w:val="en-GB"/>
        </w:rPr>
        <w:tab/>
      </w:r>
      <w:r w:rsidRPr="003D5DE0">
        <w:rPr>
          <w:lang w:val="en-GB"/>
        </w:rPr>
        <w:t xml:space="preserve">Report of the Special Representative of the Secretary-General on the issue of human rights and transnational corporations and other business enterprises, John Ruggie, Guiding Principles on Business and Human Rights: Implementing the United Nations “Protect, Respect and Remedy” Framework, A/HRC/17/31, guiding principle 31. </w:t>
      </w:r>
    </w:p>
  </w:footnote>
  <w:footnote w:id="29">
    <w:p w14:paraId="3A4E058B" w14:textId="77777777" w:rsidR="000052EA" w:rsidRPr="001171BB" w:rsidRDefault="000052EA" w:rsidP="00931A1F">
      <w:pPr>
        <w:pStyle w:val="FootnoteText"/>
        <w:widowControl w:val="0"/>
        <w:tabs>
          <w:tab w:val="clear" w:pos="1021"/>
          <w:tab w:val="right" w:pos="1020"/>
        </w:tabs>
      </w:pPr>
      <w:r w:rsidRPr="003D5DE0">
        <w:rPr>
          <w:lang w:val="en-GB"/>
        </w:rPr>
        <w:tab/>
      </w:r>
      <w:r>
        <w:rPr>
          <w:rStyle w:val="FootnoteReference"/>
        </w:rPr>
        <w:footnoteRef/>
      </w:r>
      <w:r>
        <w:t xml:space="preserve"> General Comment nr. 5, lid 37. </w:t>
      </w:r>
    </w:p>
  </w:footnote>
  <w:footnote w:id="30">
    <w:p w14:paraId="5E377897" w14:textId="77777777" w:rsidR="000052EA" w:rsidRPr="001171BB" w:rsidRDefault="000052EA" w:rsidP="00931A1F">
      <w:pPr>
        <w:pStyle w:val="FootnoteText"/>
        <w:widowControl w:val="0"/>
        <w:tabs>
          <w:tab w:val="clear" w:pos="1021"/>
          <w:tab w:val="right" w:pos="1020"/>
        </w:tabs>
      </w:pPr>
      <w:r>
        <w:tab/>
      </w:r>
      <w:r>
        <w:rPr>
          <w:rStyle w:val="FootnoteReference"/>
        </w:rPr>
        <w:footnoteRef/>
      </w:r>
      <w:r>
        <w:t xml:space="preserve"> General Comment nr. 5, lid 45.</w:t>
      </w:r>
    </w:p>
  </w:footnote>
  <w:footnote w:id="31">
    <w:p w14:paraId="111A238E" w14:textId="77777777" w:rsidR="000052EA" w:rsidRPr="00FD10FB" w:rsidRDefault="000052EA" w:rsidP="00931A1F">
      <w:pPr>
        <w:pStyle w:val="FootnoteText"/>
        <w:widowControl w:val="0"/>
        <w:tabs>
          <w:tab w:val="clear" w:pos="1021"/>
          <w:tab w:val="right" w:pos="1020"/>
        </w:tabs>
      </w:pPr>
      <w:r>
        <w:tab/>
      </w:r>
      <w:r>
        <w:rPr>
          <w:rStyle w:val="FootnoteReference"/>
        </w:rPr>
        <w:footnoteRef/>
      </w:r>
      <w:r>
        <w:t xml:space="preserve"> General Comment nr. 14, lid 99.</w:t>
      </w:r>
    </w:p>
  </w:footnote>
  <w:footnote w:id="32">
    <w:p w14:paraId="32D2CB3D" w14:textId="77777777" w:rsidR="000052EA" w:rsidRPr="00FD10FB" w:rsidRDefault="000052EA" w:rsidP="00931A1F">
      <w:pPr>
        <w:pStyle w:val="FootnoteText"/>
        <w:widowControl w:val="0"/>
        <w:tabs>
          <w:tab w:val="clear" w:pos="1021"/>
          <w:tab w:val="right" w:pos="1020"/>
        </w:tabs>
      </w:pPr>
      <w:r>
        <w:tab/>
      </w:r>
      <w:r>
        <w:rPr>
          <w:rStyle w:val="FootnoteReference"/>
        </w:rPr>
        <w:footnoteRef/>
      </w:r>
      <w:r>
        <w:tab/>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85E8" w14:textId="77777777" w:rsidR="000052EA" w:rsidRPr="004B7FCC" w:rsidRDefault="000052EA" w:rsidP="00350E43">
    <w:pPr>
      <w:pStyle w:val="Header"/>
    </w:pPr>
    <w:r>
      <w:t>CRC/C/GC/16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216A" w14:textId="77777777" w:rsidR="000052EA" w:rsidRPr="004B7FCC" w:rsidRDefault="000052EA" w:rsidP="00350E43">
    <w:pPr>
      <w:pStyle w:val="Header"/>
      <w:jc w:val="right"/>
    </w:pPr>
    <w:r>
      <w:t>CRC/C/GC/16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73CF" w14:textId="77777777" w:rsidR="00E60FA7" w:rsidRDefault="00E6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31478"/>
    <w:multiLevelType w:val="hybridMultilevel"/>
    <w:tmpl w:val="F78E97F4"/>
    <w:lvl w:ilvl="0" w:tplc="73A6434A">
      <w:start w:val="1"/>
      <w:numFmt w:val="lowerLetter"/>
      <w:lvlText w:val="(%1)"/>
      <w:lvlJc w:val="left"/>
      <w:pPr>
        <w:tabs>
          <w:tab w:val="num" w:pos="1891"/>
        </w:tabs>
        <w:ind w:left="1535" w:hanging="4"/>
      </w:pPr>
      <w:rPr>
        <w:rFont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67801"/>
    <w:multiLevelType w:val="hybridMultilevel"/>
    <w:tmpl w:val="2D489416"/>
    <w:lvl w:ilvl="0" w:tplc="73A6434A">
      <w:start w:val="1"/>
      <w:numFmt w:val="lowerLetter"/>
      <w:lvlText w:val="(%1)"/>
      <w:lvlJc w:val="left"/>
      <w:pPr>
        <w:tabs>
          <w:tab w:val="num" w:pos="1891"/>
        </w:tabs>
        <w:ind w:left="1535" w:hanging="4"/>
      </w:pPr>
      <w:rPr>
        <w:rFont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5206E"/>
    <w:multiLevelType w:val="hybridMultilevel"/>
    <w:tmpl w:val="991EA662"/>
    <w:lvl w:ilvl="0" w:tplc="73A6434A">
      <w:start w:val="1"/>
      <w:numFmt w:val="lowerLetter"/>
      <w:lvlText w:val="(%1)"/>
      <w:lvlJc w:val="left"/>
      <w:pPr>
        <w:tabs>
          <w:tab w:val="num" w:pos="1891"/>
        </w:tabs>
        <w:ind w:left="1535" w:hanging="4"/>
      </w:pPr>
      <w:rPr>
        <w:rFont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4E4C9E"/>
    <w:multiLevelType w:val="hybridMultilevel"/>
    <w:tmpl w:val="359ABFCC"/>
    <w:lvl w:ilvl="0" w:tplc="6AACAFAC">
      <w:start w:val="1"/>
      <w:numFmt w:val="lowerLetter"/>
      <w:lvlText w:val="(%1)"/>
      <w:lvlJc w:val="left"/>
      <w:pPr>
        <w:tabs>
          <w:tab w:val="num" w:pos="1891"/>
        </w:tabs>
        <w:ind w:left="1535" w:hanging="4"/>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776328"/>
    <w:multiLevelType w:val="hybridMultilevel"/>
    <w:tmpl w:val="DD24654A"/>
    <w:lvl w:ilvl="0" w:tplc="60C02612">
      <w:start w:val="1"/>
      <w:numFmt w:val="decimal"/>
      <w:lvlText w:val="%1."/>
      <w:lvlJc w:val="left"/>
      <w:pPr>
        <w:ind w:left="930" w:hanging="570"/>
      </w:pPr>
      <w:rPr>
        <w:rFonts w:eastAsia="Calibr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CC"/>
    <w:rsid w:val="000046F0"/>
    <w:rsid w:val="000052EA"/>
    <w:rsid w:val="00017562"/>
    <w:rsid w:val="000325F2"/>
    <w:rsid w:val="00040C75"/>
    <w:rsid w:val="00051EE5"/>
    <w:rsid w:val="00081AD6"/>
    <w:rsid w:val="00086A58"/>
    <w:rsid w:val="000A6C0E"/>
    <w:rsid w:val="00100C3D"/>
    <w:rsid w:val="00103842"/>
    <w:rsid w:val="00112171"/>
    <w:rsid w:val="001171BB"/>
    <w:rsid w:val="00126572"/>
    <w:rsid w:val="00132771"/>
    <w:rsid w:val="00160036"/>
    <w:rsid w:val="00182C01"/>
    <w:rsid w:val="001F2B4A"/>
    <w:rsid w:val="002050A6"/>
    <w:rsid w:val="00235664"/>
    <w:rsid w:val="00250B19"/>
    <w:rsid w:val="00255336"/>
    <w:rsid w:val="002850EE"/>
    <w:rsid w:val="002B17A5"/>
    <w:rsid w:val="002B5EC9"/>
    <w:rsid w:val="002C4135"/>
    <w:rsid w:val="002D58C5"/>
    <w:rsid w:val="002E0E47"/>
    <w:rsid w:val="002E5DC8"/>
    <w:rsid w:val="003056A6"/>
    <w:rsid w:val="0031002F"/>
    <w:rsid w:val="0031371F"/>
    <w:rsid w:val="00317DA5"/>
    <w:rsid w:val="00325FDA"/>
    <w:rsid w:val="00336D2D"/>
    <w:rsid w:val="003414E6"/>
    <w:rsid w:val="00343E4B"/>
    <w:rsid w:val="00350E43"/>
    <w:rsid w:val="00352622"/>
    <w:rsid w:val="00354E92"/>
    <w:rsid w:val="003D5DE0"/>
    <w:rsid w:val="003F2144"/>
    <w:rsid w:val="003F4FEF"/>
    <w:rsid w:val="003F6B8F"/>
    <w:rsid w:val="00402546"/>
    <w:rsid w:val="00410A0E"/>
    <w:rsid w:val="00432BAF"/>
    <w:rsid w:val="004364B9"/>
    <w:rsid w:val="0044400C"/>
    <w:rsid w:val="00452A53"/>
    <w:rsid w:val="004750AF"/>
    <w:rsid w:val="00477F17"/>
    <w:rsid w:val="00497C36"/>
    <w:rsid w:val="004B5C44"/>
    <w:rsid w:val="004B7FCC"/>
    <w:rsid w:val="004C10ED"/>
    <w:rsid w:val="004D23C7"/>
    <w:rsid w:val="004D3C3E"/>
    <w:rsid w:val="00517A3C"/>
    <w:rsid w:val="0052344E"/>
    <w:rsid w:val="00524FC9"/>
    <w:rsid w:val="00547400"/>
    <w:rsid w:val="00547F70"/>
    <w:rsid w:val="00550AC6"/>
    <w:rsid w:val="00590EA8"/>
    <w:rsid w:val="005941C1"/>
    <w:rsid w:val="0059774B"/>
    <w:rsid w:val="005B15DA"/>
    <w:rsid w:val="005E09DB"/>
    <w:rsid w:val="005F0A16"/>
    <w:rsid w:val="00613497"/>
    <w:rsid w:val="00614447"/>
    <w:rsid w:val="0063075A"/>
    <w:rsid w:val="006351F6"/>
    <w:rsid w:val="00642DA1"/>
    <w:rsid w:val="0066092E"/>
    <w:rsid w:val="00667F1C"/>
    <w:rsid w:val="00670C82"/>
    <w:rsid w:val="00673DDA"/>
    <w:rsid w:val="00677B6B"/>
    <w:rsid w:val="00693541"/>
    <w:rsid w:val="006B15AF"/>
    <w:rsid w:val="006B4188"/>
    <w:rsid w:val="006D0915"/>
    <w:rsid w:val="006D0AF8"/>
    <w:rsid w:val="00700CD9"/>
    <w:rsid w:val="00705660"/>
    <w:rsid w:val="00716A28"/>
    <w:rsid w:val="00727FE4"/>
    <w:rsid w:val="00772B84"/>
    <w:rsid w:val="007917F4"/>
    <w:rsid w:val="007B66D1"/>
    <w:rsid w:val="007B7893"/>
    <w:rsid w:val="007C1F1F"/>
    <w:rsid w:val="0080785E"/>
    <w:rsid w:val="00811649"/>
    <w:rsid w:val="00853D46"/>
    <w:rsid w:val="00873B00"/>
    <w:rsid w:val="008C6FD4"/>
    <w:rsid w:val="008D21EC"/>
    <w:rsid w:val="008D5B59"/>
    <w:rsid w:val="008F2170"/>
    <w:rsid w:val="009060EB"/>
    <w:rsid w:val="0092438E"/>
    <w:rsid w:val="00930EB5"/>
    <w:rsid w:val="00931A1F"/>
    <w:rsid w:val="00980E71"/>
    <w:rsid w:val="00985010"/>
    <w:rsid w:val="009B16F4"/>
    <w:rsid w:val="009D11A2"/>
    <w:rsid w:val="009E5912"/>
    <w:rsid w:val="00A07C79"/>
    <w:rsid w:val="00A55EBF"/>
    <w:rsid w:val="00A56C29"/>
    <w:rsid w:val="00A61D18"/>
    <w:rsid w:val="00A662B9"/>
    <w:rsid w:val="00A74CF3"/>
    <w:rsid w:val="00A776AD"/>
    <w:rsid w:val="00A912E0"/>
    <w:rsid w:val="00AA2C2A"/>
    <w:rsid w:val="00AD0CCF"/>
    <w:rsid w:val="00AE4BF9"/>
    <w:rsid w:val="00AE4CDF"/>
    <w:rsid w:val="00B048E8"/>
    <w:rsid w:val="00B357BC"/>
    <w:rsid w:val="00B41F58"/>
    <w:rsid w:val="00B53C21"/>
    <w:rsid w:val="00B62BE1"/>
    <w:rsid w:val="00B70435"/>
    <w:rsid w:val="00B70B8B"/>
    <w:rsid w:val="00B91C21"/>
    <w:rsid w:val="00BA3CC4"/>
    <w:rsid w:val="00BB6259"/>
    <w:rsid w:val="00BD6151"/>
    <w:rsid w:val="00BF40B3"/>
    <w:rsid w:val="00C34E6F"/>
    <w:rsid w:val="00C35CCA"/>
    <w:rsid w:val="00C4101C"/>
    <w:rsid w:val="00C43C80"/>
    <w:rsid w:val="00C55232"/>
    <w:rsid w:val="00C612BB"/>
    <w:rsid w:val="00C628F8"/>
    <w:rsid w:val="00C6366F"/>
    <w:rsid w:val="00C877F3"/>
    <w:rsid w:val="00C95892"/>
    <w:rsid w:val="00CC0D7B"/>
    <w:rsid w:val="00CD004C"/>
    <w:rsid w:val="00CD13ED"/>
    <w:rsid w:val="00CE1A60"/>
    <w:rsid w:val="00CE5305"/>
    <w:rsid w:val="00CF2467"/>
    <w:rsid w:val="00D00062"/>
    <w:rsid w:val="00D60995"/>
    <w:rsid w:val="00D90AC4"/>
    <w:rsid w:val="00D90F01"/>
    <w:rsid w:val="00DB0F6D"/>
    <w:rsid w:val="00DB2EF7"/>
    <w:rsid w:val="00DB7F04"/>
    <w:rsid w:val="00DC5069"/>
    <w:rsid w:val="00DD39CF"/>
    <w:rsid w:val="00DE6F47"/>
    <w:rsid w:val="00DF7357"/>
    <w:rsid w:val="00E13629"/>
    <w:rsid w:val="00E174AD"/>
    <w:rsid w:val="00E429B6"/>
    <w:rsid w:val="00E46839"/>
    <w:rsid w:val="00E50EFE"/>
    <w:rsid w:val="00E60FA7"/>
    <w:rsid w:val="00E841E7"/>
    <w:rsid w:val="00EB45CD"/>
    <w:rsid w:val="00ED00E1"/>
    <w:rsid w:val="00EF24CD"/>
    <w:rsid w:val="00EF3C90"/>
    <w:rsid w:val="00EF7333"/>
    <w:rsid w:val="00F02CF8"/>
    <w:rsid w:val="00F03121"/>
    <w:rsid w:val="00F27D17"/>
    <w:rsid w:val="00F36D4A"/>
    <w:rsid w:val="00F57D5E"/>
    <w:rsid w:val="00F61DEE"/>
    <w:rsid w:val="00F76A6E"/>
    <w:rsid w:val="00F772EF"/>
    <w:rsid w:val="00F81F91"/>
    <w:rsid w:val="00FA1B9A"/>
    <w:rsid w:val="00FA7056"/>
    <w:rsid w:val="00FC1665"/>
    <w:rsid w:val="00FC4514"/>
    <w:rsid w:val="00FD0233"/>
    <w:rsid w:val="00FD10FB"/>
    <w:rsid w:val="00FD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6C07A0B"/>
  <w15:chartTrackingRefBased/>
  <w15:docId w15:val="{B1C77EC8-5A41-433E-ADD3-C157DAF9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D73"/>
    <w:pPr>
      <w:suppressAutoHyphens/>
      <w:spacing w:line="240" w:lineRule="atLeast"/>
    </w:pPr>
  </w:style>
  <w:style w:type="paragraph" w:styleId="Heading1">
    <w:name w:val="heading 1"/>
    <w:aliases w:val="Table_G"/>
    <w:basedOn w:val="SingleTxtG"/>
    <w:next w:val="SingleTxtG"/>
    <w:link w:val="Heading1Char"/>
    <w:uiPriority w:val="9"/>
    <w:qFormat/>
    <w:rsid w:val="00B75D73"/>
    <w:pPr>
      <w:spacing w:after="0" w:line="240" w:lineRule="auto"/>
      <w:ind w:right="0"/>
      <w:jc w:val="left"/>
      <w:outlineLvl w:val="0"/>
    </w:pPr>
  </w:style>
  <w:style w:type="paragraph" w:styleId="Heading2">
    <w:name w:val="heading 2"/>
    <w:basedOn w:val="Normal"/>
    <w:next w:val="Normal"/>
    <w:qFormat/>
    <w:rsid w:val="00B75D73"/>
    <w:pPr>
      <w:spacing w:line="240" w:lineRule="auto"/>
      <w:outlineLvl w:val="1"/>
    </w:pPr>
  </w:style>
  <w:style w:type="paragraph" w:styleId="Heading3">
    <w:name w:val="heading 3"/>
    <w:basedOn w:val="Normal"/>
    <w:next w:val="Normal"/>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link w:val="Heading5Char"/>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
    <w:link w:val="4GCharCharChar"/>
    <w:rsid w:val="00B75D73"/>
    <w:rPr>
      <w:rFonts w:ascii="Times New Roman" w:hAnsi="Times New Roman"/>
      <w:sz w:val="18"/>
      <w:vertAlign w:val="superscript"/>
    </w:rPr>
  </w:style>
  <w:style w:type="character" w:styleId="EndnoteReference">
    <w:name w:val="endnote reference"/>
    <w:aliases w:val="1_G"/>
    <w:uiPriority w:val="99"/>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rsid w:val="00B75D73"/>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4B7FCC"/>
  </w:style>
  <w:style w:type="paragraph" w:styleId="BalloonText">
    <w:name w:val="Balloon Text"/>
    <w:basedOn w:val="Normal"/>
    <w:link w:val="BalloonTextChar1"/>
    <w:uiPriority w:val="99"/>
    <w:unhideWhenUsed/>
    <w:rsid w:val="004B7FCC"/>
    <w:pPr>
      <w:suppressAutoHyphens w:val="0"/>
      <w:spacing w:line="240" w:lineRule="auto"/>
    </w:pPr>
    <w:rPr>
      <w:rFonts w:ascii="Tahoma" w:eastAsia="Calibri" w:hAnsi="Tahoma"/>
      <w:sz w:val="16"/>
      <w:szCs w:val="16"/>
      <w:lang w:eastAsia="x-none"/>
    </w:rPr>
  </w:style>
  <w:style w:type="character" w:customStyle="1" w:styleId="BalloonTextChar">
    <w:name w:val="Balloon Text Char"/>
    <w:uiPriority w:val="99"/>
    <w:rsid w:val="004B7FCC"/>
    <w:rPr>
      <w:rFonts w:ascii="Tahoma" w:hAnsi="Tahoma" w:cs="Tahoma"/>
      <w:sz w:val="16"/>
      <w:szCs w:val="16"/>
      <w:lang w:eastAsia="en-US"/>
    </w:rPr>
  </w:style>
  <w:style w:type="character" w:customStyle="1" w:styleId="Heading1Char">
    <w:name w:val="Heading 1 Char"/>
    <w:aliases w:val="Table_G Char"/>
    <w:link w:val="Heading1"/>
    <w:uiPriority w:val="9"/>
    <w:rsid w:val="004B7FCC"/>
    <w:rPr>
      <w:lang w:eastAsia="en-US"/>
    </w:rPr>
  </w:style>
  <w:style w:type="character" w:customStyle="1" w:styleId="Heading5Char">
    <w:name w:val="Heading 5 Char"/>
    <w:link w:val="Heading5"/>
    <w:rsid w:val="004B7FCC"/>
    <w:rPr>
      <w:lang w:eastAsia="en-US"/>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link w:val="FootnoteText"/>
    <w:uiPriority w:val="99"/>
    <w:rsid w:val="004B7FCC"/>
    <w:rPr>
      <w:sz w:val="18"/>
      <w:lang w:eastAsia="en-US"/>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style>
  <w:style w:type="character" w:customStyle="1" w:styleId="CommentTextChar">
    <w:name w:val="Comment Text Char"/>
    <w:link w:val="CommentText"/>
    <w:uiPriority w:val="99"/>
    <w:rsid w:val="004B7FCC"/>
    <w:rPr>
      <w:rFonts w:ascii="Calibri" w:eastAsia="Calibri" w:hAnsi="Calibri"/>
      <w:lang w:val="nl-NL" w:eastAsia="x-none"/>
    </w:rPr>
  </w:style>
  <w:style w:type="character" w:customStyle="1" w:styleId="EndnoteTextChar">
    <w:name w:val="Endnote Text Char"/>
    <w:aliases w:val="2_G Char"/>
    <w:link w:val="EndnoteText"/>
    <w:uiPriority w:val="99"/>
    <w:rsid w:val="004B7FCC"/>
    <w:rPr>
      <w:sz w:val="18"/>
      <w:lang w:eastAsia="en-US"/>
    </w:rPr>
  </w:style>
  <w:style w:type="character" w:customStyle="1" w:styleId="apple-converted-space">
    <w:name w:val="apple-converted-space"/>
    <w:rsid w:val="004B7FCC"/>
  </w:style>
  <w:style w:type="character" w:styleId="Strong">
    <w:name w:val="Strong"/>
    <w:uiPriority w:val="22"/>
    <w:qFormat/>
    <w:rsid w:val="004B7FCC"/>
    <w:rPr>
      <w:b/>
      <w:bCs/>
    </w:rPr>
  </w:style>
  <w:style w:type="paragraph" w:customStyle="1" w:styleId="Listamulticolor-nfasis11">
    <w:name w:val="Lista multicolor - Énfasis 11"/>
    <w:basedOn w:val="Normal"/>
    <w:uiPriority w:val="34"/>
    <w:qFormat/>
    <w:rsid w:val="004B7FCC"/>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rsid w:val="004B7FCC"/>
  </w:style>
  <w:style w:type="paragraph" w:customStyle="1" w:styleId="MediumGrid1-Accent21">
    <w:name w:val="Medium Grid 1 - Accent 21"/>
    <w:basedOn w:val="Normal"/>
    <w:uiPriority w:val="34"/>
    <w:qFormat/>
    <w:rsid w:val="004B7FCC"/>
    <w:pPr>
      <w:suppressAutoHyphens w:val="0"/>
      <w:spacing w:after="200" w:line="276" w:lineRule="auto"/>
      <w:ind w:left="720"/>
      <w:contextualSpacing/>
    </w:pPr>
    <w:rPr>
      <w:rFonts w:ascii="Calibri" w:eastAsia="Calibri" w:hAnsi="Calibri"/>
      <w:sz w:val="22"/>
      <w:szCs w:val="22"/>
    </w:rPr>
  </w:style>
  <w:style w:type="character" w:customStyle="1" w:styleId="BalloonTextChar1">
    <w:name w:val="Balloon Text Char1"/>
    <w:link w:val="BalloonText"/>
    <w:uiPriority w:val="99"/>
    <w:rsid w:val="004B7FCC"/>
    <w:rPr>
      <w:rFonts w:ascii="Tahoma" w:eastAsia="Calibri" w:hAnsi="Tahoma"/>
      <w:sz w:val="16"/>
      <w:szCs w:val="16"/>
      <w:lang w:val="nl-NL" w:eastAsia="x-none"/>
    </w:rPr>
  </w:style>
  <w:style w:type="character" w:customStyle="1" w:styleId="SingleTxtGCar">
    <w:name w:val="_ Single Txt_G Car"/>
    <w:link w:val="SingleTxtG"/>
    <w:rsid w:val="004B7FCC"/>
    <w:rPr>
      <w:lang w:eastAsia="en-US"/>
    </w:rPr>
  </w:style>
  <w:style w:type="paragraph" w:styleId="NormalWeb">
    <w:name w:val="Normal (Web)"/>
    <w:basedOn w:val="Normal"/>
    <w:uiPriority w:val="99"/>
    <w:unhideWhenUsed/>
    <w:rsid w:val="004B7FCC"/>
    <w:pPr>
      <w:suppressAutoHyphens w:val="0"/>
      <w:spacing w:before="100" w:beforeAutospacing="1" w:after="100" w:afterAutospacing="1" w:line="240" w:lineRule="auto"/>
    </w:pPr>
    <w:rPr>
      <w:rFonts w:ascii="Verdana" w:hAnsi="Verdana"/>
      <w:color w:val="555555"/>
      <w:sz w:val="17"/>
      <w:szCs w:val="17"/>
      <w:lang w:eastAsia="en-GB"/>
    </w:rPr>
  </w:style>
  <w:style w:type="paragraph" w:customStyle="1" w:styleId="Default">
    <w:name w:val="Default"/>
    <w:rsid w:val="004B7FCC"/>
    <w:pPr>
      <w:autoSpaceDE w:val="0"/>
      <w:autoSpaceDN w:val="0"/>
      <w:adjustRightInd w:val="0"/>
    </w:pPr>
    <w:rPr>
      <w:rFonts w:ascii="Calibri" w:eastAsia="Calibri" w:hAnsi="Calibri" w:cs="Calibri"/>
      <w:color w:val="000000"/>
      <w:sz w:val="24"/>
      <w:szCs w:val="24"/>
      <w:lang w:eastAsia="en-GB"/>
    </w:rPr>
  </w:style>
  <w:style w:type="paragraph" w:styleId="CommentSubject">
    <w:name w:val="annotation subject"/>
    <w:basedOn w:val="CommentText"/>
    <w:next w:val="CommentText"/>
    <w:link w:val="CommentSubjectChar"/>
    <w:uiPriority w:val="99"/>
    <w:unhideWhenUsed/>
    <w:rsid w:val="004B7FCC"/>
    <w:rPr>
      <w:b/>
      <w:bCs/>
    </w:rPr>
  </w:style>
  <w:style w:type="character" w:customStyle="1" w:styleId="CommentSubjectChar">
    <w:name w:val="Comment Subject Char"/>
    <w:link w:val="CommentSubject"/>
    <w:uiPriority w:val="99"/>
    <w:rsid w:val="004B7FCC"/>
    <w:rPr>
      <w:rFonts w:ascii="Calibri" w:eastAsia="Calibri" w:hAnsi="Calibri"/>
      <w:b/>
      <w:bCs/>
      <w:lang w:val="nl-NL" w:eastAsia="x-none"/>
    </w:rPr>
  </w:style>
  <w:style w:type="character" w:customStyle="1" w:styleId="hps">
    <w:name w:val="hps"/>
    <w:rsid w:val="004B7FCC"/>
  </w:style>
  <w:style w:type="paragraph" w:customStyle="1" w:styleId="ecxmsonormal">
    <w:name w:val="ecxmsonormal"/>
    <w:basedOn w:val="Normal"/>
    <w:rsid w:val="004B7FCC"/>
    <w:pPr>
      <w:suppressAutoHyphens w:val="0"/>
      <w:spacing w:before="100" w:beforeAutospacing="1" w:after="100" w:afterAutospacing="1" w:line="240" w:lineRule="auto"/>
    </w:pPr>
    <w:rPr>
      <w:sz w:val="24"/>
      <w:szCs w:val="24"/>
      <w:lang w:eastAsia="en-GB"/>
    </w:rPr>
  </w:style>
  <w:style w:type="paragraph" w:customStyle="1" w:styleId="ecxmsolistparagraph">
    <w:name w:val="ecxmsolistparagraph"/>
    <w:basedOn w:val="Normal"/>
    <w:rsid w:val="004B7FCC"/>
    <w:pPr>
      <w:suppressAutoHyphens w:val="0"/>
      <w:spacing w:before="100" w:beforeAutospacing="1" w:after="100" w:afterAutospacing="1" w:line="240" w:lineRule="auto"/>
    </w:pPr>
    <w:rPr>
      <w:sz w:val="24"/>
      <w:szCs w:val="24"/>
      <w:lang w:eastAsia="en-GB"/>
    </w:rPr>
  </w:style>
  <w:style w:type="character" w:customStyle="1" w:styleId="ecxmsofootnotereference">
    <w:name w:val="ecxmsofootnotereference"/>
    <w:rsid w:val="004B7FCC"/>
  </w:style>
  <w:style w:type="paragraph" w:customStyle="1" w:styleId="ecxfootnote">
    <w:name w:val="ecxfootnote"/>
    <w:basedOn w:val="Normal"/>
    <w:rsid w:val="004B7FCC"/>
    <w:pPr>
      <w:suppressAutoHyphens w:val="0"/>
      <w:spacing w:before="100" w:beforeAutospacing="1" w:after="100" w:afterAutospacing="1" w:line="240" w:lineRule="auto"/>
    </w:pPr>
    <w:rPr>
      <w:sz w:val="24"/>
      <w:szCs w:val="24"/>
      <w:lang w:eastAsia="en-GB"/>
    </w:rPr>
  </w:style>
  <w:style w:type="character" w:customStyle="1" w:styleId="ecxfootnotecharacters">
    <w:name w:val="ecxfootnotecharacters"/>
    <w:rsid w:val="004B7FC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4B7FCC"/>
    <w:pPr>
      <w:suppressAutoHyphens w:val="0"/>
      <w:spacing w:after="160" w:line="240" w:lineRule="exact"/>
      <w:jc w:val="both"/>
    </w:pPr>
    <w:rPr>
      <w:sz w:val="18"/>
      <w:vertAlign w:val="superscript"/>
      <w:lang w:eastAsia="x-none"/>
    </w:rPr>
  </w:style>
  <w:style w:type="character" w:customStyle="1" w:styleId="A0">
    <w:name w:val="A0"/>
    <w:uiPriority w:val="99"/>
    <w:rsid w:val="004B7FCC"/>
    <w:rPr>
      <w:rFonts w:cs="RijksoverheidSerif"/>
      <w:color w:val="000000"/>
      <w:sz w:val="20"/>
      <w:szCs w:val="20"/>
    </w:rPr>
  </w:style>
  <w:style w:type="character" w:customStyle="1" w:styleId="BookTitle1">
    <w:name w:val="Book Title1"/>
    <w:qFormat/>
    <w:rsid w:val="004B7FCC"/>
    <w:rPr>
      <w:b/>
      <w:bCs/>
      <w:smallCaps/>
      <w:spacing w:val="5"/>
    </w:rPr>
  </w:style>
  <w:style w:type="character" w:customStyle="1" w:styleId="longtext">
    <w:name w:val="long_text"/>
    <w:rsid w:val="004B7FCC"/>
  </w:style>
  <w:style w:type="character" w:customStyle="1" w:styleId="HeaderChar">
    <w:name w:val="Header Char"/>
    <w:aliases w:val="6_G Char"/>
    <w:link w:val="Header"/>
    <w:rsid w:val="004B7FCC"/>
    <w:rPr>
      <w:b/>
      <w:sz w:val="18"/>
      <w:lang w:eastAsia="en-US"/>
    </w:rPr>
  </w:style>
  <w:style w:type="character" w:customStyle="1" w:styleId="FooterChar">
    <w:name w:val="Footer Char"/>
    <w:aliases w:val="3_G Char"/>
    <w:link w:val="Footer"/>
    <w:uiPriority w:val="99"/>
    <w:rsid w:val="004B7FCC"/>
    <w:rPr>
      <w:sz w:val="16"/>
      <w:lang w:eastAsia="en-US"/>
    </w:rPr>
  </w:style>
  <w:style w:type="paragraph" w:customStyle="1" w:styleId="ecxmsocommenttext">
    <w:name w:val="ecxmsocommenttext"/>
    <w:basedOn w:val="Normal"/>
    <w:rsid w:val="004B7FCC"/>
    <w:pPr>
      <w:suppressAutoHyphens w:val="0"/>
      <w:spacing w:before="100" w:beforeAutospacing="1" w:after="100" w:afterAutospacing="1" w:line="240" w:lineRule="auto"/>
    </w:pPr>
    <w:rPr>
      <w:sz w:val="24"/>
      <w:szCs w:val="24"/>
      <w:lang w:eastAsia="en-GB"/>
    </w:rPr>
  </w:style>
  <w:style w:type="character" w:customStyle="1" w:styleId="ecxmsocommentreference">
    <w:name w:val="ecxmsocommentreference"/>
    <w:rsid w:val="004B7FCC"/>
  </w:style>
  <w:style w:type="paragraph" w:styleId="DocumentMap">
    <w:name w:val="Document Map"/>
    <w:basedOn w:val="Normal"/>
    <w:link w:val="DocumentMapChar"/>
    <w:uiPriority w:val="99"/>
    <w:unhideWhenUsed/>
    <w:rsid w:val="004B7FCC"/>
    <w:pPr>
      <w:suppressAutoHyphens w:val="0"/>
      <w:spacing w:after="200" w:line="276" w:lineRule="auto"/>
    </w:pPr>
    <w:rPr>
      <w:rFonts w:ascii="Tahoma" w:eastAsia="Calibri" w:hAnsi="Tahoma"/>
      <w:sz w:val="16"/>
      <w:szCs w:val="16"/>
    </w:rPr>
  </w:style>
  <w:style w:type="character" w:customStyle="1" w:styleId="DocumentMapChar">
    <w:name w:val="Document Map Char"/>
    <w:link w:val="DocumentMap"/>
    <w:uiPriority w:val="99"/>
    <w:rsid w:val="004B7FCC"/>
    <w:rPr>
      <w:rFonts w:ascii="Tahoma" w:eastAsia="Calibri" w:hAnsi="Tahoma"/>
      <w:sz w:val="16"/>
      <w:szCs w:val="16"/>
      <w:lang w:eastAsia="en-US"/>
    </w:rPr>
  </w:style>
  <w:style w:type="paragraph" w:customStyle="1" w:styleId="Rvision">
    <w:name w:val="Révision"/>
    <w:hidden/>
    <w:uiPriority w:val="99"/>
    <w:semiHidden/>
    <w:rsid w:val="008D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142">
      <w:bodyDiv w:val="1"/>
      <w:marLeft w:val="0"/>
      <w:marRight w:val="0"/>
      <w:marTop w:val="0"/>
      <w:marBottom w:val="0"/>
      <w:divBdr>
        <w:top w:val="none" w:sz="0" w:space="0" w:color="auto"/>
        <w:left w:val="none" w:sz="0" w:space="0" w:color="auto"/>
        <w:bottom w:val="none" w:sz="0" w:space="0" w:color="auto"/>
        <w:right w:val="none" w:sz="0" w:space="0" w:color="auto"/>
      </w:divBdr>
      <w:divsChild>
        <w:div w:id="474447067">
          <w:marLeft w:val="0"/>
          <w:marRight w:val="0"/>
          <w:marTop w:val="0"/>
          <w:marBottom w:val="0"/>
          <w:divBdr>
            <w:top w:val="none" w:sz="0" w:space="0" w:color="auto"/>
            <w:left w:val="none" w:sz="0" w:space="0" w:color="auto"/>
            <w:bottom w:val="none" w:sz="0" w:space="0" w:color="auto"/>
            <w:right w:val="none" w:sz="0" w:space="0" w:color="auto"/>
          </w:divBdr>
        </w:div>
        <w:div w:id="625627135">
          <w:marLeft w:val="0"/>
          <w:marRight w:val="0"/>
          <w:marTop w:val="0"/>
          <w:marBottom w:val="0"/>
          <w:divBdr>
            <w:top w:val="none" w:sz="0" w:space="0" w:color="auto"/>
            <w:left w:val="none" w:sz="0" w:space="0" w:color="auto"/>
            <w:bottom w:val="none" w:sz="0" w:space="0" w:color="auto"/>
            <w:right w:val="none" w:sz="0" w:space="0" w:color="auto"/>
          </w:divBdr>
        </w:div>
        <w:div w:id="752505041">
          <w:marLeft w:val="0"/>
          <w:marRight w:val="0"/>
          <w:marTop w:val="0"/>
          <w:marBottom w:val="0"/>
          <w:divBdr>
            <w:top w:val="none" w:sz="0" w:space="0" w:color="auto"/>
            <w:left w:val="none" w:sz="0" w:space="0" w:color="auto"/>
            <w:bottom w:val="none" w:sz="0" w:space="0" w:color="auto"/>
            <w:right w:val="none" w:sz="0" w:space="0" w:color="auto"/>
          </w:divBdr>
        </w:div>
        <w:div w:id="1617784515">
          <w:marLeft w:val="0"/>
          <w:marRight w:val="0"/>
          <w:marTop w:val="0"/>
          <w:marBottom w:val="0"/>
          <w:divBdr>
            <w:top w:val="none" w:sz="0" w:space="0" w:color="auto"/>
            <w:left w:val="none" w:sz="0" w:space="0" w:color="auto"/>
            <w:bottom w:val="none" w:sz="0" w:space="0" w:color="auto"/>
            <w:right w:val="none" w:sz="0" w:space="0" w:color="auto"/>
          </w:divBdr>
        </w:div>
        <w:div w:id="1684476453">
          <w:marLeft w:val="0"/>
          <w:marRight w:val="0"/>
          <w:marTop w:val="0"/>
          <w:marBottom w:val="0"/>
          <w:divBdr>
            <w:top w:val="none" w:sz="0" w:space="0" w:color="auto"/>
            <w:left w:val="none" w:sz="0" w:space="0" w:color="auto"/>
            <w:bottom w:val="none" w:sz="0" w:space="0" w:color="auto"/>
            <w:right w:val="none" w:sz="0" w:space="0" w:color="auto"/>
          </w:divBdr>
        </w:div>
        <w:div w:id="1930581658">
          <w:marLeft w:val="0"/>
          <w:marRight w:val="0"/>
          <w:marTop w:val="0"/>
          <w:marBottom w:val="0"/>
          <w:divBdr>
            <w:top w:val="none" w:sz="0" w:space="0" w:color="auto"/>
            <w:left w:val="none" w:sz="0" w:space="0" w:color="auto"/>
            <w:bottom w:val="none" w:sz="0" w:space="0" w:color="auto"/>
            <w:right w:val="none" w:sz="0" w:space="0" w:color="auto"/>
          </w:divBdr>
        </w:div>
        <w:div w:id="2114667175">
          <w:marLeft w:val="0"/>
          <w:marRight w:val="0"/>
          <w:marTop w:val="0"/>
          <w:marBottom w:val="0"/>
          <w:divBdr>
            <w:top w:val="none" w:sz="0" w:space="0" w:color="auto"/>
            <w:left w:val="none" w:sz="0" w:space="0" w:color="auto"/>
            <w:bottom w:val="none" w:sz="0" w:space="0" w:color="auto"/>
            <w:right w:val="none" w:sz="0" w:space="0" w:color="auto"/>
          </w:divBdr>
        </w:div>
      </w:divsChild>
    </w:div>
    <w:div w:id="594754691">
      <w:bodyDiv w:val="1"/>
      <w:marLeft w:val="0"/>
      <w:marRight w:val="0"/>
      <w:marTop w:val="0"/>
      <w:marBottom w:val="0"/>
      <w:divBdr>
        <w:top w:val="none" w:sz="0" w:space="0" w:color="auto"/>
        <w:left w:val="none" w:sz="0" w:space="0" w:color="auto"/>
        <w:bottom w:val="none" w:sz="0" w:space="0" w:color="auto"/>
        <w:right w:val="none" w:sz="0" w:space="0" w:color="auto"/>
      </w:divBdr>
      <w:divsChild>
        <w:div w:id="657419581">
          <w:marLeft w:val="0"/>
          <w:marRight w:val="0"/>
          <w:marTop w:val="0"/>
          <w:marBottom w:val="0"/>
          <w:divBdr>
            <w:top w:val="none" w:sz="0" w:space="0" w:color="auto"/>
            <w:left w:val="none" w:sz="0" w:space="0" w:color="auto"/>
            <w:bottom w:val="none" w:sz="0" w:space="0" w:color="auto"/>
            <w:right w:val="none" w:sz="0" w:space="0" w:color="auto"/>
          </w:divBdr>
        </w:div>
        <w:div w:id="778140453">
          <w:marLeft w:val="0"/>
          <w:marRight w:val="0"/>
          <w:marTop w:val="0"/>
          <w:marBottom w:val="0"/>
          <w:divBdr>
            <w:top w:val="none" w:sz="0" w:space="0" w:color="auto"/>
            <w:left w:val="none" w:sz="0" w:space="0" w:color="auto"/>
            <w:bottom w:val="none" w:sz="0" w:space="0" w:color="auto"/>
            <w:right w:val="none" w:sz="0" w:space="0" w:color="auto"/>
          </w:divBdr>
        </w:div>
        <w:div w:id="1194463204">
          <w:marLeft w:val="0"/>
          <w:marRight w:val="0"/>
          <w:marTop w:val="0"/>
          <w:marBottom w:val="0"/>
          <w:divBdr>
            <w:top w:val="none" w:sz="0" w:space="0" w:color="auto"/>
            <w:left w:val="none" w:sz="0" w:space="0" w:color="auto"/>
            <w:bottom w:val="none" w:sz="0" w:space="0" w:color="auto"/>
            <w:right w:val="none" w:sz="0" w:space="0" w:color="auto"/>
          </w:divBdr>
        </w:div>
        <w:div w:id="1675843932">
          <w:marLeft w:val="0"/>
          <w:marRight w:val="0"/>
          <w:marTop w:val="0"/>
          <w:marBottom w:val="0"/>
          <w:divBdr>
            <w:top w:val="none" w:sz="0" w:space="0" w:color="auto"/>
            <w:left w:val="none" w:sz="0" w:space="0" w:color="auto"/>
            <w:bottom w:val="none" w:sz="0" w:space="0" w:color="auto"/>
            <w:right w:val="none" w:sz="0" w:space="0" w:color="auto"/>
          </w:divBdr>
        </w:div>
        <w:div w:id="1727727572">
          <w:marLeft w:val="0"/>
          <w:marRight w:val="0"/>
          <w:marTop w:val="0"/>
          <w:marBottom w:val="0"/>
          <w:divBdr>
            <w:top w:val="none" w:sz="0" w:space="0" w:color="auto"/>
            <w:left w:val="none" w:sz="0" w:space="0" w:color="auto"/>
            <w:bottom w:val="none" w:sz="0" w:space="0" w:color="auto"/>
            <w:right w:val="none" w:sz="0" w:space="0" w:color="auto"/>
          </w:divBdr>
        </w:div>
        <w:div w:id="1827430296">
          <w:marLeft w:val="0"/>
          <w:marRight w:val="0"/>
          <w:marTop w:val="0"/>
          <w:marBottom w:val="0"/>
          <w:divBdr>
            <w:top w:val="none" w:sz="0" w:space="0" w:color="auto"/>
            <w:left w:val="none" w:sz="0" w:space="0" w:color="auto"/>
            <w:bottom w:val="none" w:sz="0" w:space="0" w:color="auto"/>
            <w:right w:val="none" w:sz="0" w:space="0" w:color="auto"/>
          </w:divBdr>
        </w:div>
        <w:div w:id="198770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C_E.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CRC_E.dotm</Template>
  <TotalTime>0</TotalTime>
  <Pages>25</Pages>
  <Words>12535</Words>
  <Characters>68944</Characters>
  <Application>Microsoft Office Word</Application>
  <DocSecurity>0</DocSecurity>
  <Lines>574</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81317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Boit James</dc:creator>
  <cp:keywords/>
  <cp:lastModifiedBy>Loes Hartman</cp:lastModifiedBy>
  <cp:revision>3</cp:revision>
  <cp:lastPrinted>2013-04-17T13:01:00Z</cp:lastPrinted>
  <dcterms:created xsi:type="dcterms:W3CDTF">2019-05-10T15:58:00Z</dcterms:created>
  <dcterms:modified xsi:type="dcterms:W3CDTF">2019-10-19T21:54:00Z</dcterms:modified>
</cp:coreProperties>
</file>